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jc w:val="center"/>
        <w:rPr>
          <w:rFonts w:ascii="宋体" w:hAnsi="宋体" w:eastAsia="宋体" w:cs="宋体"/>
          <w:b/>
          <w:kern w:val="0"/>
          <w:sz w:val="36"/>
          <w:szCs w:val="36"/>
          <w:highlight w:val="none"/>
          <w:lang w:bidi="ar"/>
        </w:rPr>
      </w:pPr>
      <w:bookmarkStart w:id="4" w:name="_GoBack"/>
      <w:r>
        <w:rPr>
          <w:rFonts w:hint="eastAsia" w:ascii="宋体" w:hAnsi="宋体" w:eastAsia="宋体" w:cs="宋体"/>
          <w:b/>
          <w:kern w:val="0"/>
          <w:sz w:val="36"/>
          <w:szCs w:val="36"/>
          <w:highlight w:val="none"/>
          <w:lang w:bidi="ar"/>
        </w:rPr>
        <w:t>西安工商学院大学生竞赛管理办法（试行）</w:t>
      </w:r>
    </w:p>
    <w:p>
      <w:pPr>
        <w:rPr>
          <w:sz w:val="28"/>
          <w:szCs w:val="28"/>
          <w:highlight w:val="none"/>
        </w:rPr>
      </w:pPr>
    </w:p>
    <w:p>
      <w:pPr>
        <w:numPr>
          <w:ilvl w:val="0"/>
          <w:numId w:val="1"/>
        </w:numPr>
        <w:jc w:val="center"/>
        <w:rPr>
          <w:rFonts w:ascii="黑体" w:hAnsi="黑体" w:eastAsia="黑体" w:cs="黑体"/>
          <w:b/>
          <w:bCs/>
          <w:sz w:val="28"/>
          <w:szCs w:val="28"/>
          <w:highlight w:val="none"/>
        </w:rPr>
      </w:pPr>
      <w:r>
        <w:rPr>
          <w:rFonts w:hint="eastAsia" w:ascii="黑体" w:hAnsi="黑体" w:eastAsia="黑体" w:cs="黑体"/>
          <w:b/>
          <w:bCs/>
          <w:sz w:val="28"/>
          <w:szCs w:val="28"/>
          <w:highlight w:val="none"/>
        </w:rPr>
        <w:t xml:space="preserve"> 总 则</w:t>
      </w:r>
    </w:p>
    <w:p>
      <w:pPr>
        <w:ind w:firstLine="561" w:firstLineChars="200"/>
        <w:rPr>
          <w:rFonts w:ascii="Times New Roman" w:hAnsi="Times New Roman" w:eastAsia="仿宋_GB2312"/>
          <w:sz w:val="28"/>
          <w:szCs w:val="28"/>
          <w:highlight w:val="none"/>
        </w:rPr>
      </w:pPr>
      <w:r>
        <w:rPr>
          <w:rFonts w:hint="eastAsia" w:ascii="华文楷体" w:hAnsi="华文楷体" w:eastAsia="华文楷体" w:cs="华文楷体"/>
          <w:b/>
          <w:bCs/>
          <w:sz w:val="28"/>
          <w:szCs w:val="28"/>
          <w:highlight w:val="none"/>
        </w:rPr>
        <w:t>第一条</w:t>
      </w:r>
      <w:r>
        <w:rPr>
          <w:rFonts w:hint="eastAsia" w:ascii="Times New Roman" w:hAnsi="Times New Roman" w:eastAsia="仿宋_GB2312"/>
          <w:sz w:val="28"/>
          <w:szCs w:val="28"/>
          <w:highlight w:val="none"/>
        </w:rPr>
        <w:t xml:space="preserve"> 大学生竞赛目的在于激励大学生主动学习、拓展知识面，提高大学生的实践能力和创新能力，培养大学生的综合素质和专业素养。为鼓励全校学生和教师参加各类竞赛，提高竞赛水平，规范竞赛的组织管理，特制定本办法。</w:t>
      </w:r>
    </w:p>
    <w:p>
      <w:pPr>
        <w:ind w:firstLine="561" w:firstLineChars="200"/>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第二条</w:t>
      </w:r>
      <w:r>
        <w:rPr>
          <w:rFonts w:hint="eastAsia" w:ascii="Times New Roman" w:hAnsi="Times New Roman" w:eastAsia="仿宋_GB2312"/>
          <w:sz w:val="28"/>
          <w:szCs w:val="28"/>
          <w:highlight w:val="none"/>
        </w:rPr>
        <w:t xml:space="preserve"> 本办法的制定主要依据</w:t>
      </w:r>
      <w:r>
        <w:rPr>
          <w:rFonts w:ascii="Times New Roman" w:hAnsi="Times New Roman" w:eastAsia="仿宋_GB2312"/>
          <w:sz w:val="28"/>
          <w:szCs w:val="28"/>
          <w:highlight w:val="none"/>
        </w:rPr>
        <w:t>《教育部关于加快建设高</w:t>
      </w:r>
      <w:r>
        <w:rPr>
          <w:rFonts w:ascii="Times New Roman" w:hAnsi="Times New Roman" w:eastAsia="仿宋_GB2312"/>
          <w:spacing w:val="-8"/>
          <w:sz w:val="28"/>
          <w:szCs w:val="28"/>
          <w:highlight w:val="none"/>
        </w:rPr>
        <w:t>水平本科教育全面提高人才培养能力的意见》（教高〔2018〕2号）《教育部关于深化本科教育教学改革全面提高人才培养质量的意见》（教高〔2019〕6号）</w:t>
      </w:r>
      <w:r>
        <w:rPr>
          <w:rFonts w:hint="eastAsia" w:ascii="Times New Roman" w:hAnsi="Times New Roman" w:eastAsia="仿宋_GB2312"/>
          <w:spacing w:val="-8"/>
          <w:sz w:val="28"/>
          <w:szCs w:val="28"/>
          <w:highlight w:val="none"/>
        </w:rPr>
        <w:t>《北方国际大学联盟关于制定竞赛及教学工作荣誉奖励办法的指导意见（试行）》（联盟发</w:t>
      </w:r>
      <w:r>
        <w:rPr>
          <w:rFonts w:ascii="Times New Roman" w:hAnsi="Times New Roman" w:eastAsia="仿宋_GB2312"/>
          <w:spacing w:val="-8"/>
          <w:sz w:val="28"/>
          <w:szCs w:val="28"/>
          <w:highlight w:val="none"/>
        </w:rPr>
        <w:t>〔201</w:t>
      </w:r>
      <w:r>
        <w:rPr>
          <w:rFonts w:hint="eastAsia" w:ascii="Times New Roman" w:hAnsi="Times New Roman" w:eastAsia="仿宋_GB2312"/>
          <w:spacing w:val="-8"/>
          <w:sz w:val="28"/>
          <w:szCs w:val="28"/>
          <w:highlight w:val="none"/>
        </w:rPr>
        <w:t>8</w:t>
      </w:r>
      <w:r>
        <w:rPr>
          <w:rFonts w:ascii="Times New Roman" w:hAnsi="Times New Roman" w:eastAsia="仿宋_GB2312"/>
          <w:spacing w:val="-8"/>
          <w:sz w:val="28"/>
          <w:szCs w:val="28"/>
          <w:highlight w:val="none"/>
        </w:rPr>
        <w:t>〕</w:t>
      </w:r>
      <w:r>
        <w:rPr>
          <w:rFonts w:hint="eastAsia" w:ascii="Times New Roman" w:hAnsi="Times New Roman" w:eastAsia="仿宋_GB2312"/>
          <w:spacing w:val="-8"/>
          <w:sz w:val="28"/>
          <w:szCs w:val="28"/>
          <w:highlight w:val="none"/>
        </w:rPr>
        <w:t>2</w:t>
      </w:r>
      <w:r>
        <w:rPr>
          <w:rFonts w:ascii="Times New Roman" w:hAnsi="Times New Roman" w:eastAsia="仿宋_GB2312"/>
          <w:spacing w:val="-8"/>
          <w:sz w:val="28"/>
          <w:szCs w:val="28"/>
          <w:highlight w:val="none"/>
        </w:rPr>
        <w:t>6号</w:t>
      </w:r>
      <w:r>
        <w:rPr>
          <w:rFonts w:hint="eastAsia" w:ascii="Times New Roman" w:hAnsi="Times New Roman" w:eastAsia="仿宋_GB2312"/>
          <w:spacing w:val="-8"/>
          <w:sz w:val="28"/>
          <w:szCs w:val="28"/>
          <w:highlight w:val="none"/>
        </w:rPr>
        <w:t>）等相关文件。</w:t>
      </w:r>
    </w:p>
    <w:p>
      <w:pPr>
        <w:ind w:firstLine="560" w:firstLineChars="200"/>
        <w:rPr>
          <w:rFonts w:ascii="仿宋_GB2312" w:hAnsi="仿宋_GB2312" w:eastAsia="仿宋_GB2312" w:cs="仿宋_GB2312"/>
          <w:kern w:val="0"/>
          <w:sz w:val="28"/>
          <w:szCs w:val="28"/>
          <w:highlight w:val="none"/>
          <w:lang w:bidi="ar"/>
        </w:rPr>
      </w:pPr>
    </w:p>
    <w:p>
      <w:pPr>
        <w:numPr>
          <w:ilvl w:val="0"/>
          <w:numId w:val="1"/>
        </w:numPr>
        <w:jc w:val="center"/>
        <w:rPr>
          <w:rFonts w:ascii="黑体" w:hAnsi="黑体" w:eastAsia="黑体" w:cs="黑体"/>
          <w:b/>
          <w:bCs/>
          <w:sz w:val="28"/>
          <w:szCs w:val="28"/>
          <w:highlight w:val="none"/>
        </w:rPr>
      </w:pPr>
      <w:r>
        <w:rPr>
          <w:rFonts w:hint="eastAsia" w:ascii="黑体" w:hAnsi="黑体" w:eastAsia="黑体" w:cs="黑体"/>
          <w:b/>
          <w:bCs/>
          <w:sz w:val="28"/>
          <w:szCs w:val="28"/>
          <w:highlight w:val="none"/>
        </w:rPr>
        <w:t>组织机构及职责</w:t>
      </w:r>
    </w:p>
    <w:p>
      <w:pPr>
        <w:ind w:firstLine="561" w:firstLineChars="200"/>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 xml:space="preserve">第三条 </w:t>
      </w:r>
      <w:r>
        <w:rPr>
          <w:rFonts w:hint="eastAsia" w:ascii="仿宋_GB2312" w:hAnsi="仿宋_GB2312" w:eastAsia="仿宋_GB2312" w:cs="仿宋_GB2312"/>
          <w:kern w:val="0"/>
          <w:sz w:val="28"/>
          <w:szCs w:val="28"/>
          <w:highlight w:val="none"/>
          <w:lang w:bidi="ar"/>
        </w:rPr>
        <w:t>竞赛实行校、院（部门）两级管理，学校创新创业教育中心</w:t>
      </w:r>
      <w:r>
        <w:rPr>
          <w:rFonts w:ascii="仿宋_GB2312" w:hAnsi="仿宋_GB2312" w:eastAsia="仿宋_GB2312" w:cs="仿宋_GB2312"/>
          <w:kern w:val="0"/>
          <w:sz w:val="28"/>
          <w:szCs w:val="28"/>
          <w:highlight w:val="none"/>
          <w:lang w:bidi="ar"/>
        </w:rPr>
        <w:t>负责统筹与协调，各二级学院</w:t>
      </w:r>
      <w:r>
        <w:rPr>
          <w:rFonts w:hint="eastAsia" w:ascii="仿宋_GB2312" w:hAnsi="仿宋_GB2312" w:eastAsia="仿宋_GB2312" w:cs="仿宋_GB2312"/>
          <w:kern w:val="0"/>
          <w:sz w:val="28"/>
          <w:szCs w:val="28"/>
          <w:highlight w:val="none"/>
          <w:lang w:bidi="ar"/>
        </w:rPr>
        <w:t>（部门）</w:t>
      </w:r>
      <w:r>
        <w:rPr>
          <w:rFonts w:ascii="仿宋_GB2312" w:hAnsi="仿宋_GB2312" w:eastAsia="仿宋_GB2312" w:cs="仿宋_GB2312"/>
          <w:kern w:val="0"/>
          <w:sz w:val="28"/>
          <w:szCs w:val="28"/>
          <w:highlight w:val="none"/>
          <w:lang w:bidi="ar"/>
        </w:rPr>
        <w:t>负责组织与落实。</w:t>
      </w:r>
    </w:p>
    <w:p>
      <w:pPr>
        <w:ind w:firstLine="561" w:firstLineChars="200"/>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第四条</w:t>
      </w:r>
      <w:r>
        <w:rPr>
          <w:rFonts w:hint="eastAsia" w:ascii="仿宋_GB2312" w:hAnsi="仿宋_GB2312" w:eastAsia="仿宋_GB2312" w:cs="仿宋_GB2312"/>
          <w:kern w:val="0"/>
          <w:sz w:val="28"/>
          <w:szCs w:val="28"/>
          <w:highlight w:val="none"/>
          <w:lang w:bidi="ar"/>
        </w:rPr>
        <w:t xml:space="preserve">  学校职责</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学校成立以分管教学工作的校级领导为组长，人事处、教务处、科技处、学生处、财务处、校团委、教学质量保障中心等部门负责人及各二级学院院长为成员的竞赛工作领导小组，领导小组下设办公室，办公室设在乡村振兴人才学院创新创业教育中心，负责各级各类竞赛的组织管理工作，具体职责为：</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（一）负责制定学校竞赛管理办法等有关规章制度，指导全校竞赛工作的开展。</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 xml:space="preserve">（二）负责根据教育部、陕西省教育厅、中国高等教育学会高校竞赛评估与管理体系研究工作组发布的竞赛相关政策与信息，结合学校各项比赛开展情况，每年动态调整我校大学生竞赛项目名录（以下简称“竞赛名录”）。 </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（三）负责统筹全校竞赛计划。</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（四）负责对二级学院（部门）竞赛工作的监督审核，包括竞赛方案及费用审核。</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（五）负责竞赛的组织协调，指导承办单位做好竞赛的报名及组织实施。</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（六）负责竞赛的获奖级别认定，协调做好获奖学生、指导教师和承办单位的奖励工作。</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（七）负责竞赛成绩及相关成果材料的归档工作。</w:t>
      </w:r>
    </w:p>
    <w:p>
      <w:pPr>
        <w:ind w:left="319" w:leftChars="152" w:firstLine="280" w:firstLineChars="100"/>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第五条</w:t>
      </w:r>
      <w:r>
        <w:rPr>
          <w:rFonts w:hint="eastAsia" w:ascii="仿宋_GB2312" w:hAnsi="仿宋_GB2312" w:eastAsia="仿宋_GB2312" w:cs="仿宋_GB2312"/>
          <w:kern w:val="0"/>
          <w:sz w:val="28"/>
          <w:szCs w:val="28"/>
          <w:highlight w:val="none"/>
          <w:lang w:bidi="ar"/>
        </w:rPr>
        <w:t xml:space="preserve"> 二级学院（部门）职责</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二级学院（部门）是竞赛的主体和责任单位，负责各项赛事的落实工作。具体职责为：</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（一）负责制定本单位年度竞赛计划与工作方案，报学校竞赛工作领导小组审核。</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（二）负责竞赛宣传、竞赛组织、对外联络、指导教师配备、学生选拔、成绩上报、竞赛过程资料收集等相关工作。</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（三）组织竞赛培训，提供竞赛所需场地、仪器、设备、资料等。</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（四）组织所承办竞赛的评审工作，并报学校竞赛工作领导小组审定。</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（五）</w:t>
      </w:r>
      <w:r>
        <w:rPr>
          <w:rFonts w:ascii="仿宋_GB2312" w:hAnsi="仿宋_GB2312" w:eastAsia="仿宋_GB2312" w:cs="仿宋_GB2312"/>
          <w:kern w:val="0"/>
          <w:sz w:val="28"/>
          <w:szCs w:val="28"/>
          <w:highlight w:val="none"/>
          <w:lang w:bidi="ar"/>
        </w:rPr>
        <w:t>每项竞赛赛事结束后，应对相关参赛情况进行总结并向</w:t>
      </w:r>
      <w:r>
        <w:rPr>
          <w:rFonts w:hint="eastAsia" w:ascii="仿宋_GB2312" w:hAnsi="仿宋_GB2312" w:eastAsia="仿宋_GB2312" w:cs="仿宋_GB2312"/>
          <w:kern w:val="0"/>
          <w:sz w:val="28"/>
          <w:szCs w:val="28"/>
          <w:highlight w:val="none"/>
          <w:lang w:bidi="ar"/>
        </w:rPr>
        <w:t>竞赛工作领导小组</w:t>
      </w:r>
      <w:r>
        <w:rPr>
          <w:rFonts w:ascii="仿宋_GB2312" w:hAnsi="仿宋_GB2312" w:eastAsia="仿宋_GB2312" w:cs="仿宋_GB2312"/>
          <w:kern w:val="0"/>
          <w:sz w:val="28"/>
          <w:szCs w:val="28"/>
          <w:highlight w:val="none"/>
          <w:lang w:bidi="ar"/>
        </w:rPr>
        <w:t>报备</w:t>
      </w:r>
      <w:r>
        <w:rPr>
          <w:rFonts w:hint="eastAsia" w:ascii="仿宋_GB2312" w:hAnsi="仿宋_GB2312" w:eastAsia="仿宋_GB2312" w:cs="仿宋_GB2312"/>
          <w:kern w:val="0"/>
          <w:sz w:val="28"/>
          <w:szCs w:val="28"/>
          <w:highlight w:val="none"/>
          <w:lang w:bidi="ar"/>
        </w:rPr>
        <w:t>，竞赛结束2</w:t>
      </w:r>
      <w:r>
        <w:rPr>
          <w:rFonts w:ascii="仿宋_GB2312" w:hAnsi="仿宋_GB2312" w:eastAsia="仿宋_GB2312" w:cs="仿宋_GB2312"/>
          <w:kern w:val="0"/>
          <w:sz w:val="28"/>
          <w:szCs w:val="28"/>
          <w:highlight w:val="none"/>
          <w:lang w:bidi="ar"/>
        </w:rPr>
        <w:t>4</w:t>
      </w:r>
      <w:r>
        <w:rPr>
          <w:rFonts w:hint="eastAsia" w:ascii="仿宋_GB2312" w:hAnsi="仿宋_GB2312" w:eastAsia="仿宋_GB2312" w:cs="仿宋_GB2312"/>
          <w:kern w:val="0"/>
          <w:sz w:val="28"/>
          <w:szCs w:val="28"/>
          <w:highlight w:val="none"/>
          <w:lang w:bidi="ar"/>
        </w:rPr>
        <w:t>小时内发布新闻稿。</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六）各二级学院（部门）每年对本单位承办竞赛的参赛数据、竞赛成绩及有关支撑材料（获奖作品、获奖文件、证书、奖杯、奖牌、奖品的实物或照片）进行收集，报领导小组办公室归档。负责对获省部级一等奖或国家级二等奖以上（含）、以及取得历史性突破成绩的竞赛成果进行展示和宣传。</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（七）承办竞赛的单位要重视竞赛组织全过程的安全管理，内容包括但不限于培训及竞赛的场地、设施、人身安全等。</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华文楷体" w:hAnsi="华文楷体" w:eastAsia="华文楷体" w:cs="华文楷体"/>
          <w:b/>
          <w:bCs/>
          <w:kern w:val="2"/>
          <w:sz w:val="28"/>
          <w:szCs w:val="28"/>
          <w:highlight w:val="none"/>
        </w:rPr>
        <w:t>第六条</w:t>
      </w:r>
      <w:r>
        <w:rPr>
          <w:rFonts w:hint="eastAsia" w:ascii="仿宋" w:hAnsi="仿宋" w:eastAsia="仿宋" w:cs="仿宋"/>
          <w:sz w:val="28"/>
          <w:szCs w:val="28"/>
          <w:highlight w:val="none"/>
        </w:rPr>
        <w:t>　</w:t>
      </w:r>
      <w:r>
        <w:rPr>
          <w:rFonts w:hint="eastAsia" w:ascii="仿宋_GB2312" w:hAnsi="仿宋_GB2312" w:eastAsia="仿宋_GB2312" w:cs="仿宋_GB2312"/>
          <w:sz w:val="28"/>
          <w:szCs w:val="28"/>
          <w:highlight w:val="none"/>
          <w:lang w:bidi="ar"/>
        </w:rPr>
        <w:t>指导教师工作职责</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（一）负责收集竞赛有关信息。</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（二）负责参赛学生的赛前指导和培训工作。</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（三）负责参赛学生竞赛期间的组织、教育、竞赛指导和安全管理工作。</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华文楷体" w:hAnsi="华文楷体" w:eastAsia="华文楷体" w:cs="华文楷体"/>
          <w:b/>
          <w:bCs/>
          <w:kern w:val="2"/>
          <w:sz w:val="28"/>
          <w:szCs w:val="28"/>
          <w:highlight w:val="none"/>
        </w:rPr>
        <w:t>第七条</w:t>
      </w:r>
      <w:r>
        <w:rPr>
          <w:rFonts w:hint="eastAsia" w:ascii="仿宋_GB2312" w:hAnsi="仿宋_GB2312" w:eastAsia="仿宋_GB2312" w:cs="仿宋_GB2312"/>
          <w:sz w:val="28"/>
          <w:szCs w:val="28"/>
          <w:highlight w:val="none"/>
          <w:lang w:bidi="ar"/>
        </w:rPr>
        <w:t>　参赛学生职责</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（一）服从竞赛组织者的安排，按时参加竞赛培训，非特殊情况不得弃赛。</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（二）在竞赛过程中，遵守竞赛纪律和竞赛规则。</w:t>
      </w:r>
    </w:p>
    <w:p>
      <w:pPr>
        <w:pStyle w:val="4"/>
        <w:widowControl/>
        <w:spacing w:before="0" w:beforeAutospacing="0" w:after="0" w:afterAutospacing="0" w:line="600" w:lineRule="atLeast"/>
        <w:ind w:firstLine="645"/>
        <w:jc w:val="both"/>
        <w:rPr>
          <w:rFonts w:ascii="仿宋" w:hAnsi="仿宋" w:eastAsia="仿宋" w:cs="仿宋"/>
          <w:sz w:val="28"/>
          <w:szCs w:val="28"/>
          <w:highlight w:val="none"/>
        </w:rPr>
      </w:pPr>
    </w:p>
    <w:p>
      <w:pPr>
        <w:pStyle w:val="4"/>
        <w:widowControl/>
        <w:spacing w:before="0" w:beforeAutospacing="0" w:after="0" w:afterAutospacing="0" w:line="600" w:lineRule="atLeast"/>
        <w:ind w:firstLine="645"/>
        <w:jc w:val="center"/>
        <w:rPr>
          <w:rFonts w:ascii="黑体" w:hAnsi="黑体" w:eastAsia="黑体" w:cs="黑体"/>
          <w:b/>
          <w:bCs/>
          <w:kern w:val="2"/>
          <w:sz w:val="28"/>
          <w:szCs w:val="28"/>
          <w:highlight w:val="none"/>
        </w:rPr>
      </w:pPr>
      <w:r>
        <w:rPr>
          <w:rFonts w:hint="eastAsia" w:ascii="黑体" w:hAnsi="黑体" w:eastAsia="黑体" w:cs="黑体"/>
          <w:b/>
          <w:bCs/>
          <w:kern w:val="2"/>
          <w:sz w:val="28"/>
          <w:szCs w:val="28"/>
          <w:highlight w:val="none"/>
        </w:rPr>
        <w:t>第三章 竞赛范围及类别</w:t>
      </w:r>
    </w:p>
    <w:p>
      <w:pPr>
        <w:ind w:firstLine="561" w:firstLineChars="200"/>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第八条</w:t>
      </w:r>
      <w:r>
        <w:rPr>
          <w:rFonts w:hint="eastAsia" w:ascii="仿宋_GB2312" w:hAnsi="仿宋_GB2312" w:eastAsia="仿宋_GB2312" w:cs="仿宋_GB2312"/>
          <w:kern w:val="0"/>
          <w:sz w:val="28"/>
          <w:szCs w:val="28"/>
          <w:highlight w:val="none"/>
          <w:lang w:bidi="ar"/>
        </w:rPr>
        <w:t xml:space="preserve"> 竞赛范围</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本办法所涉及的竞赛是指全日制在校大学生参加的各类竞赛，包括：</w:t>
      </w:r>
    </w:p>
    <w:p>
      <w:pPr>
        <w:numPr>
          <w:ilvl w:val="0"/>
          <w:numId w:val="2"/>
        </w:numPr>
        <w:ind w:firstLine="560" w:firstLineChars="200"/>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创新创业类竞赛：由教育部、陕西省教育厅、国家、省（市）政府机构及政府认可的教学指导委员会、学会、联合会等作为主办单位组织的创新创业竞赛。</w:t>
      </w:r>
    </w:p>
    <w:p>
      <w:pPr>
        <w:numPr>
          <w:ilvl w:val="0"/>
          <w:numId w:val="2"/>
        </w:num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sz w:val="28"/>
          <w:szCs w:val="28"/>
          <w:highlight w:val="none"/>
          <w:lang w:bidi="ar"/>
        </w:rPr>
        <w:t>学科类竞赛：</w:t>
      </w:r>
      <w:r>
        <w:rPr>
          <w:rFonts w:hint="eastAsia" w:ascii="仿宋_GB2312" w:hAnsi="仿宋_GB2312" w:eastAsia="仿宋_GB2312" w:cs="仿宋_GB2312"/>
          <w:kern w:val="0"/>
          <w:sz w:val="28"/>
          <w:szCs w:val="28"/>
          <w:highlight w:val="none"/>
          <w:lang w:bidi="ar"/>
        </w:rPr>
        <w:t>由国家、省（市）级教育行政主管部门、教学（专业）指导委员会、学会、党政其他部门或组织机构举办的各类学科竞赛。</w:t>
      </w:r>
    </w:p>
    <w:p>
      <w:pPr>
        <w:numPr>
          <w:ilvl w:val="0"/>
          <w:numId w:val="2"/>
        </w:num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艺体类竞赛：针对大学生开展的专业艺术竞赛（不含考试、综艺、选秀等活动），由教育行政部门、大学生体育运动协会主办的体育竞赛和学校重点支持的单项体育运动竞赛和社会体育竞赛。</w:t>
      </w:r>
    </w:p>
    <w:p>
      <w:pPr>
        <w:numPr>
          <w:ilvl w:val="0"/>
          <w:numId w:val="2"/>
        </w:num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其他类竞赛：</w:t>
      </w:r>
      <w:r>
        <w:rPr>
          <w:rFonts w:hint="eastAsia" w:ascii="仿宋_GB2312" w:hAnsi="仿宋_GB2312" w:eastAsia="仿宋_GB2312" w:cs="仿宋_GB2312"/>
          <w:sz w:val="28"/>
          <w:szCs w:val="28"/>
          <w:highlight w:val="none"/>
          <w:lang w:bidi="ar"/>
        </w:rPr>
        <w:t>除以上三类竞赛以外的赛事。</w:t>
      </w:r>
    </w:p>
    <w:p>
      <w:pPr>
        <w:ind w:firstLine="561" w:firstLineChars="200"/>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第九条</w:t>
      </w:r>
      <w:r>
        <w:rPr>
          <w:rFonts w:hint="eastAsia" w:ascii="仿宋_GB2312" w:hAnsi="仿宋_GB2312" w:eastAsia="仿宋_GB2312" w:cs="仿宋_GB2312"/>
          <w:kern w:val="0"/>
          <w:sz w:val="28"/>
          <w:szCs w:val="28"/>
          <w:highlight w:val="none"/>
          <w:lang w:bidi="ar"/>
        </w:rPr>
        <w:t xml:space="preserve"> 竞赛类别</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根据竞赛的主办单位、知名度、影响力和高校参与规模等方面综合评价，考虑我校学科专业情况，对竞赛进行分级分类管理，形成《西安工商学院大学生竞赛分级分类目录》。竞赛分级分类目录实行动态调整，由学校定期认定发布。</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一）国家级竞赛：由国际权威机构、国家部委或部委下属的司局、教育部专业教学指导委员会主办的全国性竞赛，以及全国性学术团体（学会、协会）主办的全国性竞赛。竞赛分为Ⅰ类、Ⅱ类、Ⅲ类。国际级竞赛等同国家级竞赛。</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二）省级竞赛：由陕西省教育厅或相当级别部门、教育部专业教学指导委员会等主办的全省性或跨省性竞赛，以及全国性学术团体（学会、协会）或省级学术团体（学会、协会）主办的全省性或跨省性竞赛。竞赛分为Ⅱ类、Ⅲ类。</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（三）校级竞赛：由学校名义组织并在竞赛办公室备案的全校性竞赛。</w:t>
      </w:r>
    </w:p>
    <w:p>
      <w:pPr>
        <w:pStyle w:val="4"/>
        <w:widowControl/>
        <w:spacing w:before="0" w:beforeAutospacing="0" w:after="0" w:afterAutospacing="0" w:line="600" w:lineRule="atLeast"/>
        <w:ind w:firstLine="645"/>
        <w:jc w:val="both"/>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省会城市举办的全市性竞赛等同省级。其他市、区级组织的竞赛等同校级竞赛。</w:t>
      </w:r>
    </w:p>
    <w:p>
      <w:pPr>
        <w:pStyle w:val="4"/>
        <w:widowControl/>
        <w:spacing w:before="0" w:beforeAutospacing="0" w:after="0" w:afterAutospacing="0" w:line="600" w:lineRule="atLeast"/>
        <w:ind w:firstLine="560" w:firstLineChars="200"/>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（四）Ⅰ类竞赛：是指参考中国高等教育学会高校竞赛评估与管理体系研究专家组发布的《全国普通高校竞赛排行榜》，结合竞赛影响力和学生受益面确定的创新创业类竞赛和学科竞赛。</w:t>
      </w:r>
    </w:p>
    <w:p>
      <w:pPr>
        <w:pStyle w:val="4"/>
        <w:widowControl/>
        <w:spacing w:before="0" w:beforeAutospacing="0" w:after="0" w:afterAutospacing="0" w:line="600" w:lineRule="atLeast"/>
        <w:ind w:firstLine="560" w:firstLineChars="200"/>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（五）Ⅱ类竞赛：是指除我校确定的全国普通高校竞赛排行榜内的Ⅰ类竞赛以外的创新创业类竞赛和学科竞赛，政府部门及相关专业教学指导委员会、全国性的专业（行业）学会等主办的学科竞赛，艺体类竞赛。</w:t>
      </w:r>
    </w:p>
    <w:p>
      <w:pPr>
        <w:pStyle w:val="4"/>
        <w:widowControl/>
        <w:spacing w:before="0" w:beforeAutospacing="0" w:after="0" w:afterAutospacing="0" w:line="600" w:lineRule="atLeast"/>
        <w:ind w:firstLine="560" w:firstLineChars="200"/>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（六）Ⅲ类竞赛。是指除以上两类竞赛以外的赛事。</w:t>
      </w:r>
    </w:p>
    <w:p>
      <w:pPr>
        <w:widowControl/>
        <w:ind w:firstLine="560" w:firstLineChars="200"/>
        <w:jc w:val="left"/>
        <w:rPr>
          <w:rFonts w:ascii="仿宋_GB2312" w:hAnsi="仿宋_GB2312" w:eastAsia="仿宋_GB2312" w:cs="仿宋_GB2312"/>
          <w:kern w:val="0"/>
          <w:sz w:val="28"/>
          <w:szCs w:val="28"/>
          <w:highlight w:val="none"/>
          <w:lang w:bidi="ar"/>
        </w:rPr>
      </w:pPr>
    </w:p>
    <w:p>
      <w:pPr>
        <w:jc w:val="center"/>
        <w:rPr>
          <w:rFonts w:ascii="黑体" w:hAnsi="黑体" w:eastAsia="黑体" w:cs="黑体"/>
          <w:b/>
          <w:bCs/>
          <w:sz w:val="28"/>
          <w:szCs w:val="28"/>
          <w:highlight w:val="none"/>
        </w:rPr>
      </w:pPr>
      <w:r>
        <w:rPr>
          <w:rFonts w:hint="eastAsia" w:ascii="黑体" w:hAnsi="黑体" w:eastAsia="黑体" w:cs="黑体"/>
          <w:b/>
          <w:bCs/>
          <w:sz w:val="28"/>
          <w:szCs w:val="28"/>
          <w:highlight w:val="none"/>
        </w:rPr>
        <w:t>第四章 竞赛管理与实施</w:t>
      </w:r>
    </w:p>
    <w:p>
      <w:pPr>
        <w:widowControl/>
        <w:ind w:firstLine="561" w:firstLineChars="200"/>
        <w:jc w:val="left"/>
        <w:rPr>
          <w:rFonts w:ascii="仿宋_GB2312" w:hAnsi="宋体"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第十条</w:t>
      </w:r>
      <w:r>
        <w:rPr>
          <w:rFonts w:hint="eastAsia" w:ascii="仿宋_GB2312" w:hAnsi="宋体" w:eastAsia="仿宋_GB2312" w:cs="仿宋_GB2312"/>
          <w:kern w:val="0"/>
          <w:sz w:val="28"/>
          <w:szCs w:val="28"/>
          <w:highlight w:val="none"/>
          <w:lang w:bidi="ar"/>
        </w:rPr>
        <w:t xml:space="preserve"> 总体原则</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（一）学校鼓励学生参加各级各类竞赛活动，重点支持影响力大且学生受益面广的由</w:t>
      </w:r>
      <w:r>
        <w:rPr>
          <w:rFonts w:hint="eastAsia" w:ascii="仿宋_GB2312" w:hAnsi="仿宋_GB2312" w:eastAsia="仿宋_GB2312" w:cs="仿宋_GB2312"/>
          <w:sz w:val="28"/>
          <w:szCs w:val="28"/>
          <w:highlight w:val="none"/>
          <w:lang w:bidi="ar"/>
        </w:rPr>
        <w:t>国际权威机构、国家部委或部委下属的司局、教育部专业教学指导委员会主办的全国性竞赛，以及全国性学术团体（学会、协会）主办的</w:t>
      </w:r>
      <w:r>
        <w:rPr>
          <w:rFonts w:hint="eastAsia" w:ascii="仿宋_GB2312" w:hAnsi="仿宋_GB2312" w:eastAsia="仿宋_GB2312" w:cs="仿宋_GB2312"/>
          <w:kern w:val="0"/>
          <w:sz w:val="28"/>
          <w:szCs w:val="28"/>
          <w:highlight w:val="none"/>
          <w:lang w:bidi="ar"/>
        </w:rPr>
        <w:t>Ⅰ类竞赛。</w:t>
      </w:r>
    </w:p>
    <w:p>
      <w:p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（二）报名参加省级以上竞赛都要组织校级选拔赛，扩大赛事受益面和影响力，对不组织校级选拔赛的项目，原则上不推荐参加省级竞赛。校级竞赛获奖比例</w:t>
      </w:r>
      <w:r>
        <w:rPr>
          <w:rFonts w:hint="eastAsia" w:ascii="仿宋_GB2312" w:hAnsi="仿宋_GB2312" w:eastAsia="仿宋_GB2312" w:cs="仿宋_GB2312"/>
          <w:kern w:val="0"/>
          <w:sz w:val="28"/>
          <w:szCs w:val="28"/>
          <w:highlight w:val="none"/>
          <w:lang w:val="en-US" w:eastAsia="zh-CN" w:bidi="ar"/>
        </w:rPr>
        <w:t>原则上</w:t>
      </w:r>
      <w:r>
        <w:rPr>
          <w:rFonts w:hint="eastAsia" w:ascii="仿宋_GB2312" w:hAnsi="仿宋_GB2312" w:eastAsia="仿宋_GB2312" w:cs="仿宋_GB2312"/>
          <w:kern w:val="0"/>
          <w:sz w:val="28"/>
          <w:szCs w:val="28"/>
          <w:highlight w:val="none"/>
          <w:lang w:bidi="ar"/>
        </w:rPr>
        <w:t>不超过参赛项目数（人数）的30%，推荐参加省级竞赛的项目数（人数）原则上不超过参赛项目数（人数）总数的15%。</w:t>
      </w:r>
    </w:p>
    <w:p>
      <w:pPr>
        <w:ind w:firstLine="560" w:firstLineChars="200"/>
        <w:rPr>
          <w:rFonts w:ascii="仿宋_GB2312" w:hAnsi="宋体"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三）坚持“一院一品牌”的原则，各二级学院结合学科和专业特点，积极组织学生开展和参加各类竞赛，培养学生的学习能力、创新创业和团队合作精神，并努力依托自身优势承办高水平竞赛，全力打造二级学院赛事品牌（主要立足点：一是各二级学院结合自身专业特色及优势创设比赛项目；二是各二级学院结合自身专业特点及优势，从一类竞赛名录中选择至少1项作为本学院的重点参赛项目）。</w:t>
      </w:r>
    </w:p>
    <w:p>
      <w:pPr>
        <w:widowControl/>
        <w:ind w:firstLine="561" w:firstLineChars="200"/>
        <w:jc w:val="left"/>
        <w:rPr>
          <w:rFonts w:ascii="仿宋_GB2312" w:hAnsi="宋体"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第十一条</w:t>
      </w:r>
      <w:r>
        <w:rPr>
          <w:rFonts w:hint="eastAsia" w:ascii="仿宋_GB2312" w:hAnsi="宋体" w:eastAsia="仿宋_GB2312" w:cs="仿宋_GB2312"/>
          <w:kern w:val="0"/>
          <w:sz w:val="28"/>
          <w:szCs w:val="28"/>
          <w:highlight w:val="none"/>
          <w:lang w:bidi="ar"/>
        </w:rPr>
        <w:t xml:space="preserve"> 竞赛管理</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（一）竞赛实行“一年一申报，一赛一立项”。各二级学院（部门）于当年12月份向领导小组提交次年的竞赛年度计划，</w:t>
      </w:r>
      <w:r>
        <w:rPr>
          <w:rFonts w:hint="eastAsia" w:ascii="仿宋_GB2312" w:hAnsi="仿宋_GB2312" w:eastAsia="仿宋_GB2312" w:cs="仿宋_GB2312"/>
          <w:kern w:val="0"/>
          <w:sz w:val="28"/>
          <w:szCs w:val="28"/>
          <w:highlight w:val="none"/>
          <w:lang w:val="en-US" w:eastAsia="zh-CN" w:bidi="ar"/>
        </w:rPr>
        <w:t>填写《西安工商学院大学生竞赛分级分类目录》（见附件1）</w:t>
      </w:r>
      <w:r>
        <w:rPr>
          <w:rFonts w:hint="eastAsia" w:ascii="仿宋_GB2312" w:hAnsi="仿宋_GB2312" w:eastAsia="仿宋_GB2312" w:cs="仿宋_GB2312"/>
          <w:kern w:val="0"/>
          <w:sz w:val="28"/>
          <w:szCs w:val="28"/>
          <w:highlight w:val="none"/>
          <w:lang w:val="en-US" w:eastAsia="zh-CN" w:bidi="ar"/>
        </w:rPr>
        <w:t>。</w:t>
      </w:r>
      <w:r>
        <w:rPr>
          <w:rFonts w:hint="eastAsia" w:ascii="仿宋_GB2312" w:hAnsi="仿宋_GB2312" w:eastAsia="仿宋_GB2312" w:cs="仿宋_GB2312"/>
          <w:kern w:val="0"/>
          <w:sz w:val="28"/>
          <w:szCs w:val="28"/>
          <w:highlight w:val="none"/>
          <w:lang w:bidi="ar"/>
        </w:rPr>
        <w:t>不在年度计划名录中的项目需提交《西安工商学院大学生竞赛审批表》</w:t>
      </w:r>
      <w:r>
        <w:rPr>
          <w:rFonts w:hint="eastAsia" w:ascii="仿宋_GB2312" w:hAnsi="仿宋_GB2312" w:eastAsia="仿宋_GB2312" w:cs="仿宋_GB2312"/>
          <w:kern w:val="0"/>
          <w:sz w:val="28"/>
          <w:szCs w:val="28"/>
          <w:highlight w:val="none"/>
          <w:lang w:bidi="ar"/>
        </w:rPr>
        <w:t>（见附件</w:t>
      </w:r>
      <w:r>
        <w:rPr>
          <w:rFonts w:hint="eastAsia" w:ascii="仿宋_GB2312" w:hAnsi="仿宋_GB2312" w:eastAsia="仿宋_GB2312" w:cs="仿宋_GB2312"/>
          <w:kern w:val="0"/>
          <w:sz w:val="28"/>
          <w:szCs w:val="28"/>
          <w:highlight w:val="none"/>
          <w:lang w:val="en-US" w:eastAsia="zh-CN" w:bidi="ar"/>
        </w:rPr>
        <w:t>2</w:t>
      </w:r>
      <w:r>
        <w:rPr>
          <w:rFonts w:hint="eastAsia" w:ascii="仿宋_GB2312" w:hAnsi="仿宋_GB2312" w:eastAsia="仿宋_GB2312" w:cs="仿宋_GB2312"/>
          <w:kern w:val="0"/>
          <w:sz w:val="28"/>
          <w:szCs w:val="28"/>
          <w:highlight w:val="none"/>
          <w:lang w:bidi="ar"/>
        </w:rPr>
        <w:t>）。</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（二）每个参赛队（个人）应指定1名指导教师，</w:t>
      </w:r>
      <w:r>
        <w:rPr>
          <w:rFonts w:hint="eastAsia" w:ascii="仿宋_GB2312" w:hAnsi="仿宋_GB2312" w:eastAsia="仿宋_GB2312" w:cs="仿宋_GB2312"/>
          <w:kern w:val="0"/>
          <w:sz w:val="28"/>
          <w:szCs w:val="28"/>
          <w:highlight w:val="none"/>
          <w:lang w:val="en-US" w:eastAsia="zh-CN" w:bidi="ar"/>
        </w:rPr>
        <w:t>原则上</w:t>
      </w:r>
      <w:r>
        <w:rPr>
          <w:rFonts w:hint="eastAsia" w:ascii="仿宋_GB2312" w:hAnsi="仿宋_GB2312" w:eastAsia="仿宋_GB2312" w:cs="仿宋_GB2312"/>
          <w:kern w:val="0"/>
          <w:sz w:val="28"/>
          <w:szCs w:val="28"/>
          <w:highlight w:val="none"/>
          <w:lang w:bidi="ar"/>
        </w:rPr>
        <w:t>每个指导教师最多只能独立指导2 个参赛队（个人），联合指导3个参赛队（个人）。如大赛主办单位有明确规定的，以通知文件为准。</w:t>
      </w:r>
    </w:p>
    <w:p>
      <w:pPr>
        <w:widowControl/>
        <w:ind w:firstLine="561" w:firstLineChars="200"/>
        <w:jc w:val="left"/>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第十二条</w:t>
      </w:r>
      <w:r>
        <w:rPr>
          <w:rFonts w:hint="eastAsia" w:ascii="仿宋_GB2312" w:hAnsi="仿宋_GB2312" w:eastAsia="仿宋_GB2312" w:cs="仿宋_GB2312"/>
          <w:kern w:val="0"/>
          <w:sz w:val="28"/>
          <w:szCs w:val="28"/>
          <w:highlight w:val="none"/>
          <w:lang w:bidi="ar"/>
        </w:rPr>
        <w:t xml:space="preserve"> 竞赛实施</w:t>
      </w:r>
    </w:p>
    <w:p>
      <w:pPr>
        <w:widowControl/>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一）立项审批：凡列入学校竞赛年度计划的项目，各二级学院（部门）应在活动实施两周前在OA上填写《科技竞赛申请表》，随表附竞赛方案、经费预算明细、培训指导计划等相关材料。参加临时新增竞赛项目，需在大赛主办方下发通知后的一周内完成项目论证、事项审批手续。</w:t>
      </w:r>
    </w:p>
    <w:p>
      <w:pPr>
        <w:widowControl/>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（二）竞赛组织：由竞赛承办单位具体组织实施。实施步骤参考竞赛组织流程图。（见图1）</w:t>
      </w:r>
    </w:p>
    <w:p>
      <w:pPr>
        <w:widowControl/>
        <w:ind w:firstLine="420" w:firstLineChars="200"/>
        <w:rPr>
          <w:highlight w:val="none"/>
        </w:rPr>
      </w:pPr>
      <w:r>
        <w:rPr>
          <w:highlight w:val="none"/>
        </w:rPr>
        <w:drawing>
          <wp:inline distT="0" distB="0" distL="114300" distR="114300">
            <wp:extent cx="4732020" cy="5646420"/>
            <wp:effectExtent l="0" t="0" r="7620" b="762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4"/>
                    <a:stretch>
                      <a:fillRect/>
                    </a:stretch>
                  </pic:blipFill>
                  <pic:spPr>
                    <a:xfrm>
                      <a:off x="0" y="0"/>
                      <a:ext cx="4732020" cy="5646420"/>
                    </a:xfrm>
                    <a:prstGeom prst="rect">
                      <a:avLst/>
                    </a:prstGeom>
                    <a:noFill/>
                    <a:ln>
                      <a:noFill/>
                    </a:ln>
                  </pic:spPr>
                </pic:pic>
              </a:graphicData>
            </a:graphic>
          </wp:inline>
        </w:drawing>
      </w:r>
    </w:p>
    <w:p>
      <w:pPr>
        <w:widowControl/>
        <w:spacing w:after="156" w:afterLines="50"/>
        <w:jc w:val="center"/>
        <w:rPr>
          <w:rFonts w:ascii="仿宋_GB2312" w:hAnsi="仿宋_GB2312" w:eastAsia="仿宋_GB2312" w:cs="仿宋_GB2312"/>
          <w:kern w:val="0"/>
          <w:sz w:val="24"/>
          <w:highlight w:val="none"/>
          <w:lang w:bidi="ar"/>
        </w:rPr>
      </w:pPr>
      <w:r>
        <w:rPr>
          <w:rFonts w:hint="eastAsia" w:ascii="仿宋_GB2312" w:hAnsi="仿宋_GB2312" w:eastAsia="仿宋_GB2312" w:cs="仿宋_GB2312"/>
          <w:kern w:val="0"/>
          <w:sz w:val="24"/>
          <w:highlight w:val="none"/>
          <w:lang w:bidi="ar"/>
        </w:rPr>
        <w:t>图1 竞赛组织流程图</w:t>
      </w:r>
    </w:p>
    <w:p>
      <w:pPr>
        <w:widowControl/>
        <w:numPr>
          <w:ilvl w:val="0"/>
          <w:numId w:val="3"/>
        </w:numPr>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竞赛总结：竞赛活动结束后由竞赛承办单位向领导小组办公室提交竞赛总结报告、证书复印件及学生获奖资料。</w:t>
      </w:r>
    </w:p>
    <w:p>
      <w:pPr>
        <w:widowControl/>
        <w:numPr>
          <w:ilvl w:val="0"/>
          <w:numId w:val="3"/>
        </w:numPr>
        <w:ind w:firstLine="528" w:firstLineChars="200"/>
        <w:rPr>
          <w:rFonts w:ascii="黑体" w:hAnsi="黑体" w:eastAsia="黑体" w:cs="黑体"/>
          <w:b/>
          <w:bCs/>
          <w:sz w:val="28"/>
          <w:szCs w:val="28"/>
          <w:highlight w:val="none"/>
        </w:rPr>
      </w:pPr>
      <w:r>
        <w:rPr>
          <w:rFonts w:hint="eastAsia" w:ascii="Times New Roman" w:hAnsi="Times New Roman" w:eastAsia="仿宋_GB2312" w:cs="Times New Roman"/>
          <w:spacing w:val="-8"/>
          <w:sz w:val="28"/>
          <w:szCs w:val="28"/>
          <w:highlight w:val="none"/>
        </w:rPr>
        <w:t>校级竞赛获奖</w:t>
      </w:r>
      <w:r>
        <w:rPr>
          <w:rFonts w:hint="eastAsia" w:ascii="仿宋_GB2312" w:hAnsi="仿宋_GB2312" w:eastAsia="仿宋_GB2312" w:cs="仿宋_GB2312"/>
          <w:kern w:val="0"/>
          <w:sz w:val="28"/>
          <w:szCs w:val="28"/>
          <w:highlight w:val="none"/>
          <w:lang w:bidi="ar"/>
        </w:rPr>
        <w:t>证书用印：</w:t>
      </w:r>
      <w:r>
        <w:rPr>
          <w:rFonts w:hint="eastAsia" w:ascii="Times New Roman" w:hAnsi="Times New Roman" w:eastAsia="仿宋_GB2312" w:cs="Times New Roman"/>
          <w:spacing w:val="-8"/>
          <w:sz w:val="28"/>
          <w:szCs w:val="28"/>
          <w:highlight w:val="none"/>
        </w:rPr>
        <w:t>凡以学校红头文件印发的校级竞赛活动所取得的获奖证书，按照学校相关规定使用西安工商学院印章。</w:t>
      </w:r>
      <w:r>
        <w:rPr>
          <w:rFonts w:hint="eastAsia" w:ascii="Times New Roman" w:hAnsi="Times New Roman" w:eastAsia="仿宋_GB2312" w:cs="Times New Roman"/>
          <w:spacing w:val="-8"/>
          <w:sz w:val="28"/>
          <w:szCs w:val="28"/>
          <w:highlight w:val="none"/>
          <w:lang w:val="en-US" w:eastAsia="zh-CN"/>
        </w:rPr>
        <w:t>未</w:t>
      </w:r>
      <w:r>
        <w:rPr>
          <w:rFonts w:hint="eastAsia" w:ascii="Times New Roman" w:hAnsi="Times New Roman" w:eastAsia="仿宋_GB2312" w:cs="Times New Roman"/>
          <w:spacing w:val="-8"/>
          <w:sz w:val="28"/>
          <w:szCs w:val="28"/>
          <w:highlight w:val="none"/>
        </w:rPr>
        <w:t>以学校红头文件印发的校级竞赛活动所取得的获奖证书</w:t>
      </w:r>
      <w:r>
        <w:rPr>
          <w:rFonts w:hint="eastAsia" w:ascii="Times New Roman" w:hAnsi="Times New Roman" w:eastAsia="仿宋_GB2312" w:cs="Times New Roman"/>
          <w:spacing w:val="-8"/>
          <w:sz w:val="28"/>
          <w:szCs w:val="28"/>
          <w:highlight w:val="none"/>
          <w:lang w:eastAsia="zh-CN"/>
        </w:rPr>
        <w:t>，</w:t>
      </w:r>
      <w:r>
        <w:rPr>
          <w:rFonts w:hint="eastAsia" w:ascii="Times New Roman" w:hAnsi="Times New Roman" w:eastAsia="仿宋_GB2312" w:cs="Times New Roman"/>
          <w:spacing w:val="-8"/>
          <w:sz w:val="28"/>
          <w:szCs w:val="28"/>
          <w:highlight w:val="none"/>
          <w:lang w:val="en-US" w:eastAsia="zh-CN"/>
        </w:rPr>
        <w:t>按照竞赛OA立项中的主办单位，</w:t>
      </w:r>
      <w:r>
        <w:rPr>
          <w:rFonts w:hint="eastAsia" w:ascii="Times New Roman" w:hAnsi="Times New Roman" w:eastAsia="仿宋_GB2312" w:cs="Times New Roman"/>
          <w:spacing w:val="-8"/>
          <w:sz w:val="28"/>
          <w:szCs w:val="28"/>
          <w:highlight w:val="none"/>
        </w:rPr>
        <w:t>使用主办单位印章。</w:t>
      </w:r>
    </w:p>
    <w:p>
      <w:pPr>
        <w:jc w:val="center"/>
        <w:rPr>
          <w:rFonts w:ascii="黑体" w:hAnsi="黑体" w:eastAsia="黑体" w:cs="黑体"/>
          <w:b/>
          <w:bCs/>
          <w:sz w:val="28"/>
          <w:szCs w:val="28"/>
          <w:highlight w:val="none"/>
        </w:rPr>
      </w:pPr>
      <w:r>
        <w:rPr>
          <w:rFonts w:hint="eastAsia" w:ascii="黑体" w:hAnsi="黑体" w:eastAsia="黑体" w:cs="黑体"/>
          <w:b/>
          <w:bCs/>
          <w:sz w:val="28"/>
          <w:szCs w:val="28"/>
          <w:highlight w:val="none"/>
        </w:rPr>
        <w:t>第五章 竞赛经费管理</w:t>
      </w:r>
    </w:p>
    <w:p>
      <w:pPr>
        <w:widowControl/>
        <w:ind w:firstLine="561" w:firstLineChars="200"/>
        <w:jc w:val="left"/>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第十三条</w:t>
      </w:r>
      <w:r>
        <w:rPr>
          <w:rFonts w:hint="eastAsia" w:ascii="仿宋_GB2312" w:hAnsi="仿宋_GB2312" w:eastAsia="仿宋_GB2312" w:cs="仿宋_GB2312"/>
          <w:kern w:val="0"/>
          <w:sz w:val="28"/>
          <w:szCs w:val="28"/>
          <w:highlight w:val="none"/>
          <w:lang w:bidi="ar"/>
        </w:rPr>
        <w:t xml:space="preserve"> 竞赛</w:t>
      </w:r>
      <w:r>
        <w:rPr>
          <w:rFonts w:ascii="仿宋_GB2312" w:hAnsi="仿宋_GB2312" w:eastAsia="仿宋_GB2312" w:cs="仿宋_GB2312"/>
          <w:kern w:val="0"/>
          <w:sz w:val="28"/>
          <w:szCs w:val="28"/>
          <w:highlight w:val="none"/>
          <w:lang w:bidi="ar"/>
        </w:rPr>
        <w:t>经费的开支要贯彻节约的原则，经费的申报、使用及</w:t>
      </w:r>
      <w:r>
        <w:rPr>
          <w:rFonts w:hint="eastAsia" w:ascii="仿宋_GB2312" w:hAnsi="仿宋_GB2312" w:eastAsia="仿宋_GB2312" w:cs="仿宋_GB2312"/>
          <w:kern w:val="0"/>
          <w:sz w:val="28"/>
          <w:szCs w:val="28"/>
          <w:highlight w:val="none"/>
          <w:lang w:bidi="ar"/>
        </w:rPr>
        <w:t>核销</w:t>
      </w:r>
      <w:r>
        <w:rPr>
          <w:rFonts w:ascii="仿宋_GB2312" w:hAnsi="仿宋_GB2312" w:eastAsia="仿宋_GB2312" w:cs="仿宋_GB2312"/>
          <w:kern w:val="0"/>
          <w:sz w:val="28"/>
          <w:szCs w:val="28"/>
          <w:highlight w:val="none"/>
          <w:lang w:bidi="ar"/>
        </w:rPr>
        <w:t>按</w:t>
      </w:r>
      <w:r>
        <w:rPr>
          <w:rFonts w:hint="eastAsia" w:ascii="仿宋_GB2312" w:hAnsi="仿宋_GB2312" w:eastAsia="仿宋_GB2312" w:cs="仿宋_GB2312"/>
          <w:kern w:val="0"/>
          <w:sz w:val="28"/>
          <w:szCs w:val="28"/>
          <w:highlight w:val="none"/>
          <w:lang w:bidi="ar"/>
        </w:rPr>
        <w:t>学校</w:t>
      </w:r>
      <w:r>
        <w:rPr>
          <w:rFonts w:ascii="仿宋_GB2312" w:hAnsi="仿宋_GB2312" w:eastAsia="仿宋_GB2312" w:cs="仿宋_GB2312"/>
          <w:kern w:val="0"/>
          <w:sz w:val="28"/>
          <w:szCs w:val="28"/>
          <w:highlight w:val="none"/>
          <w:lang w:bidi="ar"/>
        </w:rPr>
        <w:t>有关规定执行。</w:t>
      </w:r>
    </w:p>
    <w:p>
      <w:pPr>
        <w:widowControl/>
        <w:ind w:firstLine="561" w:firstLineChars="200"/>
        <w:jc w:val="left"/>
        <w:rPr>
          <w:rFonts w:ascii="Calibri" w:hAnsi="Calibri" w:eastAsia="宋体" w:cs="Times New Roman"/>
          <w:sz w:val="28"/>
          <w:szCs w:val="28"/>
          <w:highlight w:val="none"/>
        </w:rPr>
      </w:pPr>
      <w:r>
        <w:rPr>
          <w:rFonts w:hint="eastAsia" w:ascii="华文楷体" w:hAnsi="华文楷体" w:eastAsia="华文楷体" w:cs="华文楷体"/>
          <w:b/>
          <w:bCs/>
          <w:sz w:val="28"/>
          <w:szCs w:val="28"/>
          <w:highlight w:val="none"/>
        </w:rPr>
        <w:t>第十四条</w:t>
      </w:r>
      <w:r>
        <w:rPr>
          <w:rFonts w:hint="eastAsia" w:ascii="仿宋_GB2312" w:hAnsi="仿宋_GB2312" w:eastAsia="仿宋_GB2312" w:cs="仿宋_GB2312"/>
          <w:kern w:val="0"/>
          <w:sz w:val="28"/>
          <w:szCs w:val="28"/>
          <w:highlight w:val="none"/>
          <w:lang w:bidi="ar"/>
        </w:rPr>
        <w:t xml:space="preserve"> </w:t>
      </w:r>
      <w:r>
        <w:rPr>
          <w:rFonts w:ascii="仿宋_GB2312" w:hAnsi="仿宋_GB2312" w:eastAsia="仿宋_GB2312" w:cs="仿宋_GB2312"/>
          <w:kern w:val="0"/>
          <w:sz w:val="28"/>
          <w:szCs w:val="28"/>
          <w:highlight w:val="none"/>
          <w:lang w:bidi="ar"/>
        </w:rPr>
        <w:t>竞赛经费使用范围与标准</w:t>
      </w:r>
      <w:r>
        <w:rPr>
          <w:rFonts w:hint="eastAsia" w:ascii="仿宋_GB2312" w:hAnsi="仿宋_GB2312" w:eastAsia="仿宋_GB2312" w:cs="仿宋_GB2312"/>
          <w:kern w:val="0"/>
          <w:sz w:val="28"/>
          <w:szCs w:val="28"/>
          <w:highlight w:val="none"/>
          <w:lang w:bidi="ar"/>
        </w:rPr>
        <w:t>。</w:t>
      </w:r>
    </w:p>
    <w:p>
      <w:pPr>
        <w:widowControl/>
        <w:ind w:firstLine="560" w:firstLineChars="200"/>
        <w:rPr>
          <w:rFonts w:ascii="Calibri" w:hAnsi="Calibri" w:eastAsia="宋体" w:cs="Times New Roman"/>
          <w:sz w:val="28"/>
          <w:szCs w:val="28"/>
          <w:highlight w:val="none"/>
        </w:rPr>
      </w:pPr>
      <w:r>
        <w:rPr>
          <w:rFonts w:hint="eastAsia" w:ascii="仿宋_GB2312" w:hAnsi="仿宋_GB2312" w:eastAsia="仿宋_GB2312" w:cs="仿宋_GB2312"/>
          <w:kern w:val="0"/>
          <w:sz w:val="28"/>
          <w:szCs w:val="28"/>
          <w:highlight w:val="none"/>
          <w:lang w:bidi="ar"/>
        </w:rPr>
        <w:t>（一）</w:t>
      </w:r>
      <w:r>
        <w:rPr>
          <w:rFonts w:ascii="仿宋_GB2312" w:hAnsi="仿宋_GB2312" w:eastAsia="仿宋_GB2312" w:cs="仿宋_GB2312"/>
          <w:kern w:val="0"/>
          <w:sz w:val="28"/>
          <w:szCs w:val="28"/>
          <w:highlight w:val="none"/>
          <w:lang w:bidi="ar"/>
        </w:rPr>
        <w:t>参赛</w:t>
      </w:r>
      <w:r>
        <w:rPr>
          <w:rFonts w:hint="eastAsia" w:ascii="仿宋_GB2312" w:hAnsi="仿宋_GB2312" w:eastAsia="仿宋_GB2312" w:cs="仿宋_GB2312"/>
          <w:kern w:val="0"/>
          <w:sz w:val="28"/>
          <w:szCs w:val="28"/>
          <w:highlight w:val="none"/>
          <w:lang w:bidi="ar"/>
        </w:rPr>
        <w:t>报名</w:t>
      </w:r>
      <w:r>
        <w:rPr>
          <w:rFonts w:ascii="仿宋_GB2312" w:hAnsi="仿宋_GB2312" w:eastAsia="仿宋_GB2312" w:cs="仿宋_GB2312"/>
          <w:kern w:val="0"/>
          <w:sz w:val="28"/>
          <w:szCs w:val="28"/>
          <w:highlight w:val="none"/>
          <w:lang w:bidi="ar"/>
        </w:rPr>
        <w:t>费：以</w:t>
      </w:r>
      <w:r>
        <w:rPr>
          <w:rFonts w:hint="eastAsia" w:ascii="仿宋_GB2312" w:hAnsi="仿宋_GB2312" w:eastAsia="仿宋_GB2312" w:cs="仿宋_GB2312"/>
          <w:kern w:val="0"/>
          <w:sz w:val="28"/>
          <w:szCs w:val="28"/>
          <w:highlight w:val="none"/>
          <w:lang w:bidi="ar"/>
        </w:rPr>
        <w:t>官方的</w:t>
      </w:r>
      <w:r>
        <w:rPr>
          <w:rFonts w:ascii="仿宋_GB2312" w:hAnsi="仿宋_GB2312" w:eastAsia="仿宋_GB2312" w:cs="仿宋_GB2312"/>
          <w:kern w:val="0"/>
          <w:sz w:val="28"/>
          <w:szCs w:val="28"/>
          <w:highlight w:val="none"/>
          <w:lang w:bidi="ar"/>
        </w:rPr>
        <w:t>竞赛</w:t>
      </w:r>
      <w:r>
        <w:rPr>
          <w:rFonts w:hint="eastAsia" w:ascii="仿宋_GB2312" w:hAnsi="仿宋_GB2312" w:eastAsia="仿宋_GB2312" w:cs="仿宋_GB2312"/>
          <w:kern w:val="0"/>
          <w:sz w:val="28"/>
          <w:szCs w:val="28"/>
          <w:highlight w:val="none"/>
          <w:lang w:bidi="ar"/>
        </w:rPr>
        <w:t>通知</w:t>
      </w:r>
      <w:r>
        <w:rPr>
          <w:rFonts w:ascii="仿宋_GB2312" w:hAnsi="仿宋_GB2312" w:eastAsia="仿宋_GB2312" w:cs="仿宋_GB2312"/>
          <w:kern w:val="0"/>
          <w:sz w:val="28"/>
          <w:szCs w:val="28"/>
          <w:highlight w:val="none"/>
          <w:lang w:bidi="ar"/>
        </w:rPr>
        <w:t>文件为准。</w:t>
      </w:r>
    </w:p>
    <w:p>
      <w:pPr>
        <w:widowControl/>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（二）</w:t>
      </w:r>
      <w:r>
        <w:rPr>
          <w:rFonts w:ascii="仿宋_GB2312" w:hAnsi="仿宋_GB2312" w:eastAsia="仿宋_GB2312" w:cs="仿宋_GB2312"/>
          <w:kern w:val="0"/>
          <w:sz w:val="28"/>
          <w:szCs w:val="28"/>
          <w:highlight w:val="none"/>
          <w:lang w:bidi="ar"/>
        </w:rPr>
        <w:t>差旅费：具体包括住宿费、交通费等。相关费用与票据</w:t>
      </w:r>
      <w:r>
        <w:rPr>
          <w:rFonts w:hint="eastAsia" w:ascii="仿宋_GB2312" w:hAnsi="仿宋_GB2312" w:eastAsia="仿宋_GB2312" w:cs="仿宋_GB2312"/>
          <w:kern w:val="0"/>
          <w:sz w:val="28"/>
          <w:szCs w:val="28"/>
          <w:highlight w:val="none"/>
          <w:lang w:bidi="ar"/>
        </w:rPr>
        <w:t>按照学校差旅费管理办法相关</w:t>
      </w:r>
      <w:r>
        <w:rPr>
          <w:rFonts w:ascii="仿宋_GB2312" w:hAnsi="仿宋_GB2312" w:eastAsia="仿宋_GB2312" w:cs="仿宋_GB2312"/>
          <w:kern w:val="0"/>
          <w:sz w:val="28"/>
          <w:szCs w:val="28"/>
          <w:highlight w:val="none"/>
          <w:lang w:bidi="ar"/>
        </w:rPr>
        <w:t>规定</w:t>
      </w:r>
      <w:r>
        <w:rPr>
          <w:rFonts w:hint="eastAsia" w:ascii="仿宋_GB2312" w:hAnsi="仿宋_GB2312" w:eastAsia="仿宋_GB2312" w:cs="仿宋_GB2312"/>
          <w:kern w:val="0"/>
          <w:sz w:val="28"/>
          <w:szCs w:val="28"/>
          <w:highlight w:val="none"/>
          <w:lang w:bidi="ar"/>
        </w:rPr>
        <w:t>执行</w:t>
      </w:r>
      <w:r>
        <w:rPr>
          <w:rFonts w:ascii="仿宋_GB2312" w:hAnsi="仿宋_GB2312" w:eastAsia="仿宋_GB2312" w:cs="仿宋_GB2312"/>
          <w:kern w:val="0"/>
          <w:sz w:val="28"/>
          <w:szCs w:val="28"/>
          <w:highlight w:val="none"/>
          <w:lang w:bidi="ar"/>
        </w:rPr>
        <w:t>。</w:t>
      </w:r>
    </w:p>
    <w:p>
      <w:pPr>
        <w:widowControl/>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（三）印刷费：用于支出竞赛宣传、比赛项目文本和展板制作等方面的开支，印刷费</w:t>
      </w:r>
      <w:r>
        <w:rPr>
          <w:rFonts w:ascii="仿宋_GB2312" w:hAnsi="仿宋_GB2312" w:eastAsia="仿宋_GB2312" w:cs="仿宋_GB2312"/>
          <w:kern w:val="0"/>
          <w:sz w:val="28"/>
          <w:szCs w:val="28"/>
          <w:highlight w:val="none"/>
          <w:lang w:bidi="ar"/>
        </w:rPr>
        <w:t>的支出一般不超过项目总经费的10%</w:t>
      </w:r>
      <w:r>
        <w:rPr>
          <w:rFonts w:hint="eastAsia" w:ascii="仿宋_GB2312" w:hAnsi="仿宋_GB2312" w:eastAsia="仿宋_GB2312" w:cs="仿宋_GB2312"/>
          <w:kern w:val="0"/>
          <w:sz w:val="28"/>
          <w:szCs w:val="28"/>
          <w:highlight w:val="none"/>
          <w:lang w:bidi="ar"/>
        </w:rPr>
        <w:t>（有文书要求的竞赛可适当提高到15%）</w:t>
      </w:r>
      <w:r>
        <w:rPr>
          <w:rFonts w:ascii="仿宋_GB2312" w:hAnsi="仿宋_GB2312" w:eastAsia="仿宋_GB2312" w:cs="仿宋_GB2312"/>
          <w:kern w:val="0"/>
          <w:sz w:val="28"/>
          <w:szCs w:val="28"/>
          <w:highlight w:val="none"/>
          <w:lang w:bidi="ar"/>
        </w:rPr>
        <w:t>。</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（四）</w:t>
      </w:r>
      <w:r>
        <w:rPr>
          <w:rFonts w:ascii="仿宋_GB2312" w:hAnsi="仿宋_GB2312" w:eastAsia="仿宋_GB2312" w:cs="仿宋_GB2312"/>
          <w:kern w:val="0"/>
          <w:sz w:val="28"/>
          <w:szCs w:val="28"/>
          <w:highlight w:val="none"/>
          <w:lang w:bidi="ar"/>
        </w:rPr>
        <w:t>耗材费：指购买和使用收集资料、采集分析数据所需器材的费用等。由</w:t>
      </w:r>
      <w:r>
        <w:rPr>
          <w:rFonts w:hint="eastAsia" w:ascii="仿宋_GB2312" w:hAnsi="仿宋_GB2312" w:eastAsia="仿宋_GB2312" w:cs="仿宋_GB2312"/>
          <w:kern w:val="0"/>
          <w:sz w:val="28"/>
          <w:szCs w:val="28"/>
          <w:highlight w:val="none"/>
          <w:lang w:bidi="ar"/>
        </w:rPr>
        <w:t>承办单位</w:t>
      </w:r>
      <w:r>
        <w:rPr>
          <w:rFonts w:ascii="仿宋_GB2312" w:hAnsi="仿宋_GB2312" w:eastAsia="仿宋_GB2312" w:cs="仿宋_GB2312"/>
          <w:kern w:val="0"/>
          <w:sz w:val="28"/>
          <w:szCs w:val="28"/>
          <w:highlight w:val="none"/>
          <w:lang w:bidi="ar"/>
        </w:rPr>
        <w:t>根据竞赛项目要求列出详细清单（包含元器件或表演服装的名称、型号、数量、单价等），事前审批与申购程序需按</w:t>
      </w:r>
      <w:r>
        <w:rPr>
          <w:rFonts w:hint="eastAsia" w:ascii="仿宋_GB2312" w:hAnsi="仿宋_GB2312" w:eastAsia="仿宋_GB2312" w:cs="仿宋_GB2312"/>
          <w:kern w:val="0"/>
          <w:sz w:val="28"/>
          <w:szCs w:val="28"/>
          <w:highlight w:val="none"/>
          <w:lang w:bidi="ar"/>
        </w:rPr>
        <w:t>学校招标采购</w:t>
      </w:r>
      <w:r>
        <w:rPr>
          <w:rFonts w:ascii="仿宋_GB2312" w:hAnsi="仿宋_GB2312" w:eastAsia="仿宋_GB2312" w:cs="仿宋_GB2312"/>
          <w:kern w:val="0"/>
          <w:sz w:val="28"/>
          <w:szCs w:val="28"/>
          <w:highlight w:val="none"/>
          <w:lang w:bidi="ar"/>
        </w:rPr>
        <w:t xml:space="preserve">相关规定办理。 </w:t>
      </w:r>
    </w:p>
    <w:p>
      <w:pPr>
        <w:widowControl/>
        <w:ind w:firstLine="560" w:firstLineChars="200"/>
        <w:jc w:val="left"/>
        <w:rPr>
          <w:rFonts w:ascii="Calibri" w:hAnsi="Calibri" w:eastAsia="宋体" w:cs="Times New Roman"/>
          <w:sz w:val="28"/>
          <w:szCs w:val="28"/>
          <w:highlight w:val="none"/>
        </w:rPr>
      </w:pPr>
      <w:r>
        <w:rPr>
          <w:rFonts w:hint="eastAsia" w:ascii="仿宋_GB2312" w:hAnsi="仿宋_GB2312" w:eastAsia="仿宋_GB2312" w:cs="仿宋_GB2312"/>
          <w:kern w:val="0"/>
          <w:sz w:val="28"/>
          <w:szCs w:val="28"/>
          <w:highlight w:val="none"/>
          <w:lang w:bidi="ar"/>
        </w:rPr>
        <w:t>（五）劳务</w:t>
      </w:r>
      <w:r>
        <w:rPr>
          <w:rFonts w:ascii="仿宋_GB2312" w:hAnsi="仿宋_GB2312" w:eastAsia="仿宋_GB2312" w:cs="仿宋_GB2312"/>
          <w:kern w:val="0"/>
          <w:sz w:val="28"/>
          <w:szCs w:val="28"/>
          <w:highlight w:val="none"/>
          <w:lang w:bidi="ar"/>
        </w:rPr>
        <w:t>费：</w:t>
      </w:r>
      <w:r>
        <w:rPr>
          <w:rFonts w:hint="eastAsia" w:ascii="仿宋_GB2312" w:hAnsi="仿宋_GB2312" w:eastAsia="仿宋_GB2312" w:cs="仿宋_GB2312"/>
          <w:kern w:val="0"/>
          <w:sz w:val="28"/>
          <w:szCs w:val="28"/>
          <w:highlight w:val="none"/>
          <w:lang w:bidi="ar"/>
        </w:rPr>
        <w:t>对校级竞赛中担任评委、出卷、监考、评卷工作的教师及参赛组织人员发放劳务费。校内</w:t>
      </w:r>
      <w:r>
        <w:rPr>
          <w:rFonts w:ascii="仿宋_GB2312" w:hAnsi="仿宋_GB2312" w:eastAsia="仿宋_GB2312" w:cs="仿宋_GB2312"/>
          <w:kern w:val="0"/>
          <w:sz w:val="28"/>
          <w:szCs w:val="28"/>
          <w:highlight w:val="none"/>
          <w:lang w:bidi="ar"/>
        </w:rPr>
        <w:t>专家</w:t>
      </w:r>
      <w:r>
        <w:rPr>
          <w:rFonts w:hint="eastAsia" w:ascii="仿宋_GB2312" w:hAnsi="仿宋_GB2312" w:eastAsia="仿宋_GB2312" w:cs="仿宋_GB2312"/>
          <w:kern w:val="0"/>
          <w:sz w:val="28"/>
          <w:szCs w:val="28"/>
          <w:highlight w:val="none"/>
          <w:lang w:bidi="ar"/>
        </w:rPr>
        <w:t>评审费按200元/人</w:t>
      </w:r>
      <w:r>
        <w:rPr>
          <w:rFonts w:hint="eastAsia" w:ascii="微软雅黑" w:hAnsi="微软雅黑" w:eastAsia="微软雅黑" w:cs="微软雅黑"/>
          <w:kern w:val="0"/>
          <w:sz w:val="28"/>
          <w:szCs w:val="28"/>
          <w:highlight w:val="none"/>
          <w:lang w:bidi="ar"/>
        </w:rPr>
        <w:t>·</w:t>
      </w:r>
      <w:r>
        <w:rPr>
          <w:rFonts w:hint="eastAsia" w:ascii="仿宋_GB2312" w:hAnsi="仿宋_GB2312" w:eastAsia="仿宋_GB2312" w:cs="仿宋_GB2312"/>
          <w:kern w:val="0"/>
          <w:sz w:val="28"/>
          <w:szCs w:val="28"/>
          <w:highlight w:val="none"/>
          <w:lang w:bidi="ar"/>
        </w:rPr>
        <w:t>场支付，校外专家评审费按400元/人</w:t>
      </w:r>
      <w:r>
        <w:rPr>
          <w:rFonts w:hint="eastAsia" w:ascii="微软雅黑" w:hAnsi="微软雅黑" w:eastAsia="微软雅黑" w:cs="微软雅黑"/>
          <w:kern w:val="0"/>
          <w:sz w:val="28"/>
          <w:szCs w:val="28"/>
          <w:highlight w:val="none"/>
          <w:lang w:bidi="ar"/>
        </w:rPr>
        <w:t>·</w:t>
      </w:r>
      <w:r>
        <w:rPr>
          <w:rFonts w:hint="eastAsia" w:ascii="仿宋_GB2312" w:hAnsi="仿宋_GB2312" w:eastAsia="仿宋_GB2312" w:cs="仿宋_GB2312"/>
          <w:kern w:val="0"/>
          <w:sz w:val="28"/>
          <w:szCs w:val="28"/>
          <w:highlight w:val="none"/>
          <w:lang w:bidi="ar"/>
        </w:rPr>
        <w:t>场支付</w:t>
      </w:r>
      <w:r>
        <w:rPr>
          <w:rFonts w:hint="eastAsia" w:ascii="仿宋_GB2312" w:hAnsi="仿宋_GB2312" w:eastAsia="仿宋_GB2312" w:cs="仿宋_GB2312"/>
          <w:kern w:val="0"/>
          <w:sz w:val="28"/>
          <w:szCs w:val="28"/>
          <w:highlight w:val="none"/>
          <w:lang w:eastAsia="zh-CN" w:bidi="ar"/>
        </w:rPr>
        <w:t>，</w:t>
      </w:r>
      <w:r>
        <w:rPr>
          <w:rFonts w:hint="eastAsia" w:ascii="仿宋_GB2312" w:hAnsi="仿宋_GB2312" w:eastAsia="仿宋_GB2312" w:cs="仿宋_GB2312"/>
          <w:kern w:val="0"/>
          <w:sz w:val="28"/>
          <w:szCs w:val="28"/>
          <w:highlight w:val="none"/>
          <w:lang w:bidi="ar"/>
        </w:rPr>
        <w:t>根据竞赛类别及规模、参赛人数、专家职称、职务或行业影响力可适当上浮</w:t>
      </w:r>
      <w:r>
        <w:rPr>
          <w:rFonts w:hint="eastAsia" w:ascii="仿宋_GB2312" w:hAnsi="仿宋_GB2312" w:eastAsia="仿宋_GB2312" w:cs="仿宋_GB2312"/>
          <w:kern w:val="0"/>
          <w:sz w:val="28"/>
          <w:szCs w:val="28"/>
          <w:highlight w:val="none"/>
          <w:lang w:val="en-US" w:eastAsia="zh-CN" w:bidi="ar"/>
        </w:rPr>
        <w:t>1</w:t>
      </w:r>
      <w:r>
        <w:rPr>
          <w:rFonts w:hint="eastAsia" w:ascii="仿宋_GB2312" w:hAnsi="仿宋_GB2312" w:eastAsia="仿宋_GB2312" w:cs="仿宋_GB2312"/>
          <w:kern w:val="0"/>
          <w:sz w:val="28"/>
          <w:szCs w:val="28"/>
          <w:highlight w:val="none"/>
          <w:lang w:bidi="ar"/>
        </w:rPr>
        <w:t>00-600元，文件未明确规定评委数量的竞赛，原则上不得低于5人、最多不超过9人；命题费、监考费用参照学校考试劳务及相关费用发放标准执行；评卷费用参照补考课程阅卷费用标准；参赛组织人员劳务费用参照课程考试考务标准，原则上不得超过4人。</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六）指导费：指导教师集中进行竞赛指导工作计入年末工作量（由指导教师将工作量填写在年终工作量考核登记表中报教务处审核），按照正常教学要求需提供授课计划，包括上课课时、时间、地点、授课内容、教学大纲、指导书、讲稿等教学资料。</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1.指导</w:t>
      </w:r>
      <w:r>
        <w:rPr>
          <w:rFonts w:hint="eastAsia" w:ascii="Times New Roman" w:hAnsi="Times New Roman" w:eastAsia="仿宋_GB2312" w:cs="Times New Roman"/>
          <w:spacing w:val="-8"/>
          <w:sz w:val="28"/>
          <w:szCs w:val="28"/>
          <w:highlight w:val="none"/>
        </w:rPr>
        <w:t>国家级I类竞赛</w:t>
      </w:r>
      <w:r>
        <w:rPr>
          <w:rFonts w:hint="eastAsia" w:ascii="仿宋_GB2312" w:hAnsi="仿宋_GB2312" w:eastAsia="仿宋_GB2312" w:cs="仿宋_GB2312"/>
          <w:kern w:val="0"/>
          <w:sz w:val="28"/>
          <w:szCs w:val="28"/>
          <w:highlight w:val="none"/>
          <w:lang w:bidi="ar"/>
        </w:rPr>
        <w:t>，按学校批准的培训授课计划，每个项目最高可计40个标准课时的培训工作量，实际授课少于40个标准课时的按实际计算。</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2.指导</w:t>
      </w:r>
      <w:r>
        <w:rPr>
          <w:rFonts w:hint="eastAsia" w:ascii="Times New Roman" w:hAnsi="Times New Roman" w:eastAsia="仿宋_GB2312" w:cs="Times New Roman"/>
          <w:spacing w:val="-8"/>
          <w:sz w:val="28"/>
          <w:szCs w:val="28"/>
          <w:highlight w:val="none"/>
        </w:rPr>
        <w:t>国家级II类竞赛</w:t>
      </w:r>
      <w:r>
        <w:rPr>
          <w:rFonts w:hint="eastAsia" w:ascii="仿宋_GB2312" w:hAnsi="仿宋_GB2312" w:eastAsia="仿宋_GB2312" w:cs="仿宋_GB2312"/>
          <w:kern w:val="0"/>
          <w:sz w:val="28"/>
          <w:szCs w:val="28"/>
          <w:highlight w:val="none"/>
          <w:lang w:bidi="ar"/>
        </w:rPr>
        <w:t>，按学校批准的培训授课计划，每个项目最高可计30个标准课时的培训工作量，实际授课少于30个标准课时的按实际计算。</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3.指导</w:t>
      </w:r>
      <w:r>
        <w:rPr>
          <w:rFonts w:hint="eastAsia" w:ascii="Times New Roman" w:hAnsi="Times New Roman" w:eastAsia="仿宋_GB2312" w:cs="Times New Roman"/>
          <w:spacing w:val="-8"/>
          <w:sz w:val="28"/>
          <w:szCs w:val="28"/>
          <w:highlight w:val="none"/>
        </w:rPr>
        <w:t>国家级Ⅲ类竞赛及省级II类竞赛</w:t>
      </w:r>
      <w:r>
        <w:rPr>
          <w:rFonts w:hint="eastAsia" w:ascii="仿宋_GB2312" w:hAnsi="仿宋_GB2312" w:eastAsia="仿宋_GB2312" w:cs="仿宋_GB2312"/>
          <w:kern w:val="0"/>
          <w:sz w:val="28"/>
          <w:szCs w:val="28"/>
          <w:highlight w:val="none"/>
          <w:lang w:bidi="ar"/>
        </w:rPr>
        <w:t>，按学院批准的培训授课计划，每个项目最多可计20个标准课时的培训工作量，实际授课少于20个标准课时的按实际计算。</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4.指导</w:t>
      </w:r>
      <w:r>
        <w:rPr>
          <w:rFonts w:hint="eastAsia" w:ascii="Times New Roman" w:hAnsi="Times New Roman" w:eastAsia="仿宋_GB2312" w:cs="Times New Roman"/>
          <w:spacing w:val="-8"/>
          <w:sz w:val="28"/>
          <w:szCs w:val="28"/>
          <w:highlight w:val="none"/>
        </w:rPr>
        <w:t>省级Ⅲ类竞赛及校级竞赛</w:t>
      </w:r>
      <w:r>
        <w:rPr>
          <w:rFonts w:hint="eastAsia" w:ascii="仿宋_GB2312" w:hAnsi="仿宋_GB2312" w:eastAsia="仿宋_GB2312" w:cs="仿宋_GB2312"/>
          <w:kern w:val="0"/>
          <w:sz w:val="28"/>
          <w:szCs w:val="28"/>
          <w:highlight w:val="none"/>
          <w:lang w:bidi="ar"/>
        </w:rPr>
        <w:t>，按学院批准的培训授课计划，每个项目最多可计10个标准课时的培训工作量，实际授课少于10个标准课时的按实际计算。</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5.教师指导学生参加竞赛的工作量，以项目为单位进行计算，多名教师指导同一项目，由项目第一指导教师分配。</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6.教师指导同一项目参加国家级和省部级</w:t>
      </w:r>
      <w:r>
        <w:rPr>
          <w:rFonts w:hint="eastAsia" w:ascii="Times New Roman" w:hAnsi="Times New Roman" w:eastAsia="仿宋_GB2312" w:cs="Times New Roman"/>
          <w:spacing w:val="-8"/>
          <w:sz w:val="28"/>
          <w:szCs w:val="28"/>
          <w:highlight w:val="none"/>
        </w:rPr>
        <w:t>的</w:t>
      </w:r>
      <w:r>
        <w:rPr>
          <w:rFonts w:hint="eastAsia" w:ascii="仿宋_GB2312" w:hAnsi="仿宋_GB2312" w:eastAsia="仿宋_GB2312" w:cs="仿宋_GB2312"/>
          <w:kern w:val="0"/>
          <w:sz w:val="28"/>
          <w:szCs w:val="28"/>
          <w:highlight w:val="none"/>
          <w:lang w:bidi="ar"/>
        </w:rPr>
        <w:t>竞赛培训工作量，只取其最高，不重复计算。</w:t>
      </w:r>
    </w:p>
    <w:p>
      <w:pPr>
        <w:widowControl/>
        <w:ind w:firstLine="560" w:firstLineChars="200"/>
        <w:jc w:val="left"/>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（七）其他费用。指根据赛事需要产生的包含邮寄、刻盘、平台运行等相关费用。</w:t>
      </w:r>
    </w:p>
    <w:p>
      <w:pPr>
        <w:widowControl/>
        <w:ind w:firstLine="561" w:firstLineChars="200"/>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第十五条</w:t>
      </w:r>
      <w:r>
        <w:rPr>
          <w:rFonts w:hint="eastAsia" w:ascii="仿宋_GB2312" w:hAnsi="仿宋_GB2312" w:eastAsia="仿宋_GB2312" w:cs="仿宋_GB2312"/>
          <w:kern w:val="0"/>
          <w:sz w:val="28"/>
          <w:szCs w:val="28"/>
          <w:highlight w:val="none"/>
          <w:lang w:bidi="ar"/>
        </w:rPr>
        <w:t xml:space="preserve"> 学校</w:t>
      </w:r>
      <w:r>
        <w:rPr>
          <w:rFonts w:ascii="仿宋_GB2312" w:hAnsi="仿宋_GB2312" w:eastAsia="仿宋_GB2312" w:cs="仿宋_GB2312"/>
          <w:kern w:val="0"/>
          <w:sz w:val="28"/>
          <w:szCs w:val="28"/>
          <w:highlight w:val="none"/>
          <w:lang w:bidi="ar"/>
        </w:rPr>
        <w:t>鼓励各二级学院</w:t>
      </w:r>
      <w:r>
        <w:rPr>
          <w:rFonts w:hint="eastAsia" w:ascii="仿宋_GB2312" w:hAnsi="仿宋_GB2312" w:eastAsia="仿宋_GB2312" w:cs="仿宋_GB2312"/>
          <w:kern w:val="0"/>
          <w:sz w:val="28"/>
          <w:szCs w:val="28"/>
          <w:highlight w:val="none"/>
          <w:lang w:bidi="ar"/>
        </w:rPr>
        <w:t>（部门）</w:t>
      </w:r>
      <w:r>
        <w:rPr>
          <w:rFonts w:ascii="仿宋_GB2312" w:hAnsi="仿宋_GB2312" w:eastAsia="仿宋_GB2312" w:cs="仿宋_GB2312"/>
          <w:kern w:val="0"/>
          <w:sz w:val="28"/>
          <w:szCs w:val="28"/>
          <w:highlight w:val="none"/>
          <w:lang w:bidi="ar"/>
        </w:rPr>
        <w:t>多方面筹集</w:t>
      </w:r>
      <w:r>
        <w:rPr>
          <w:rFonts w:hint="eastAsia" w:ascii="仿宋_GB2312" w:hAnsi="仿宋_GB2312" w:eastAsia="仿宋_GB2312" w:cs="仿宋_GB2312"/>
          <w:kern w:val="0"/>
          <w:sz w:val="28"/>
          <w:szCs w:val="28"/>
          <w:highlight w:val="none"/>
          <w:lang w:bidi="ar"/>
        </w:rPr>
        <w:t>竞赛</w:t>
      </w:r>
      <w:r>
        <w:rPr>
          <w:rFonts w:ascii="仿宋_GB2312" w:hAnsi="仿宋_GB2312" w:eastAsia="仿宋_GB2312" w:cs="仿宋_GB2312"/>
          <w:kern w:val="0"/>
          <w:sz w:val="28"/>
          <w:szCs w:val="28"/>
          <w:highlight w:val="none"/>
          <w:lang w:bidi="ar"/>
        </w:rPr>
        <w:t>经费，如企业赞助等，为</w:t>
      </w:r>
      <w:r>
        <w:rPr>
          <w:rFonts w:hint="eastAsia" w:ascii="仿宋_GB2312" w:hAnsi="仿宋_GB2312" w:eastAsia="仿宋_GB2312" w:cs="仿宋_GB2312"/>
          <w:kern w:val="0"/>
          <w:sz w:val="28"/>
          <w:szCs w:val="28"/>
          <w:highlight w:val="none"/>
          <w:lang w:bidi="ar"/>
        </w:rPr>
        <w:t>竞赛</w:t>
      </w:r>
      <w:r>
        <w:rPr>
          <w:rFonts w:ascii="仿宋_GB2312" w:hAnsi="仿宋_GB2312" w:eastAsia="仿宋_GB2312" w:cs="仿宋_GB2312"/>
          <w:kern w:val="0"/>
          <w:sz w:val="28"/>
          <w:szCs w:val="28"/>
          <w:highlight w:val="none"/>
          <w:lang w:bidi="ar"/>
        </w:rPr>
        <w:t>开展创造更好条件</w:t>
      </w:r>
      <w:r>
        <w:rPr>
          <w:rFonts w:hint="eastAsia" w:ascii="仿宋_GB2312" w:hAnsi="仿宋_GB2312" w:eastAsia="仿宋_GB2312" w:cs="仿宋_GB2312"/>
          <w:kern w:val="0"/>
          <w:sz w:val="28"/>
          <w:szCs w:val="28"/>
          <w:highlight w:val="none"/>
          <w:lang w:bidi="ar"/>
        </w:rPr>
        <w:t>。</w:t>
      </w:r>
    </w:p>
    <w:p>
      <w:pPr>
        <w:widowControl/>
        <w:tabs>
          <w:tab w:val="left" w:pos="13170"/>
        </w:tabs>
        <w:ind w:firstLine="561" w:firstLineChars="200"/>
        <w:jc w:val="left"/>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 xml:space="preserve">第十六条 </w:t>
      </w:r>
      <w:r>
        <w:rPr>
          <w:rFonts w:hint="eastAsia" w:ascii="仿宋_GB2312" w:hAnsi="仿宋_GB2312" w:eastAsia="仿宋_GB2312" w:cs="仿宋_GB2312"/>
          <w:kern w:val="0"/>
          <w:sz w:val="28"/>
          <w:szCs w:val="28"/>
          <w:highlight w:val="none"/>
          <w:lang w:bidi="ar"/>
        </w:rPr>
        <w:t>费用核销</w:t>
      </w:r>
      <w:r>
        <w:rPr>
          <w:rFonts w:ascii="仿宋_GB2312" w:hAnsi="仿宋_GB2312" w:eastAsia="仿宋_GB2312" w:cs="仿宋_GB2312"/>
          <w:kern w:val="0"/>
          <w:sz w:val="28"/>
          <w:szCs w:val="28"/>
          <w:highlight w:val="none"/>
          <w:lang w:bidi="ar"/>
        </w:rPr>
        <w:tab/>
      </w:r>
    </w:p>
    <w:p>
      <w:pPr>
        <w:widowControl/>
        <w:ind w:firstLine="560" w:firstLineChars="200"/>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每个竞赛项目最高级别的赛事结束后一月内，将该竞赛项目所有级别赛事产生的费用统一核销。</w:t>
      </w:r>
    </w:p>
    <w:p>
      <w:pPr>
        <w:jc w:val="center"/>
        <w:rPr>
          <w:rFonts w:ascii="黑体" w:hAnsi="黑体" w:eastAsia="黑体" w:cs="黑体"/>
          <w:b/>
          <w:bCs/>
          <w:sz w:val="28"/>
          <w:szCs w:val="28"/>
          <w:highlight w:val="none"/>
        </w:rPr>
      </w:pPr>
    </w:p>
    <w:p>
      <w:pPr>
        <w:jc w:val="center"/>
        <w:rPr>
          <w:rFonts w:ascii="黑体" w:hAnsi="黑体" w:eastAsia="黑体" w:cs="黑体"/>
          <w:b/>
          <w:bCs/>
          <w:sz w:val="28"/>
          <w:szCs w:val="28"/>
          <w:highlight w:val="none"/>
        </w:rPr>
      </w:pPr>
      <w:r>
        <w:rPr>
          <w:rFonts w:hint="eastAsia" w:ascii="黑体" w:hAnsi="黑体" w:eastAsia="黑体" w:cs="黑体"/>
          <w:b/>
          <w:bCs/>
          <w:sz w:val="28"/>
          <w:szCs w:val="28"/>
          <w:highlight w:val="none"/>
        </w:rPr>
        <w:t>第六章 竞赛奖励</w:t>
      </w:r>
    </w:p>
    <w:p>
      <w:pPr>
        <w:pStyle w:val="10"/>
        <w:spacing w:after="80" w:line="240" w:lineRule="auto"/>
        <w:ind w:firstLine="561" w:firstLineChars="200"/>
        <w:jc w:val="left"/>
        <w:rPr>
          <w:rFonts w:ascii="Times New Roman" w:hAnsi="Times New Roman" w:eastAsia="仿宋_GB2312" w:cs="Times New Roman"/>
          <w:spacing w:val="-8"/>
          <w:sz w:val="28"/>
          <w:szCs w:val="28"/>
          <w:highlight w:val="none"/>
          <w:lang w:val="en-US" w:eastAsia="zh-CN" w:bidi="ar-SA"/>
        </w:rPr>
      </w:pPr>
      <w:r>
        <w:rPr>
          <w:rFonts w:hint="eastAsia" w:ascii="华文楷体" w:hAnsi="华文楷体" w:eastAsia="华文楷体" w:cs="华文楷体"/>
          <w:b/>
          <w:bCs/>
          <w:sz w:val="28"/>
          <w:szCs w:val="28"/>
          <w:highlight w:val="none"/>
        </w:rPr>
        <w:t>第十七条</w:t>
      </w:r>
      <w:r>
        <w:rPr>
          <w:rFonts w:hint="eastAsia" w:ascii="Times New Roman" w:hAnsi="Times New Roman" w:eastAsia="仿宋_GB2312" w:cs="Times New Roman"/>
          <w:spacing w:val="-8"/>
          <w:sz w:val="28"/>
          <w:szCs w:val="28"/>
          <w:highlight w:val="none"/>
        </w:rPr>
        <w:t xml:space="preserve"> </w:t>
      </w:r>
      <w:r>
        <w:rPr>
          <w:rFonts w:hint="eastAsia" w:ascii="Times New Roman" w:hAnsi="Times New Roman" w:eastAsia="仿宋_GB2312" w:cs="Times New Roman"/>
          <w:spacing w:val="-8"/>
          <w:sz w:val="28"/>
          <w:szCs w:val="28"/>
          <w:highlight w:val="none"/>
          <w:lang w:val="en-US" w:eastAsia="zh-CN" w:bidi="ar-SA"/>
        </w:rPr>
        <w:t>奖励标准参照《北方国际大学联盟关于制定竞赛及教学工作荣誉奖励办法的指导意见（试行）》（联盟发</w:t>
      </w:r>
      <w:r>
        <w:rPr>
          <w:rFonts w:ascii="Times New Roman" w:hAnsi="Times New Roman" w:eastAsia="仿宋_GB2312" w:cs="Times New Roman"/>
          <w:spacing w:val="-8"/>
          <w:sz w:val="28"/>
          <w:szCs w:val="28"/>
          <w:highlight w:val="none"/>
          <w:lang w:val="en-US" w:eastAsia="zh-CN" w:bidi="ar-SA"/>
        </w:rPr>
        <w:t>〔201</w:t>
      </w:r>
      <w:r>
        <w:rPr>
          <w:rFonts w:hint="eastAsia" w:ascii="Times New Roman" w:hAnsi="Times New Roman" w:eastAsia="仿宋_GB2312" w:cs="Times New Roman"/>
          <w:spacing w:val="-8"/>
          <w:sz w:val="28"/>
          <w:szCs w:val="28"/>
          <w:highlight w:val="none"/>
          <w:lang w:val="en-US" w:eastAsia="zh-CN" w:bidi="ar-SA"/>
        </w:rPr>
        <w:t>8</w:t>
      </w:r>
      <w:r>
        <w:rPr>
          <w:rFonts w:ascii="Times New Roman" w:hAnsi="Times New Roman" w:eastAsia="仿宋_GB2312" w:cs="Times New Roman"/>
          <w:spacing w:val="-8"/>
          <w:sz w:val="28"/>
          <w:szCs w:val="28"/>
          <w:highlight w:val="none"/>
          <w:lang w:val="en-US" w:eastAsia="zh-CN" w:bidi="ar-SA"/>
        </w:rPr>
        <w:t>〕</w:t>
      </w:r>
      <w:r>
        <w:rPr>
          <w:rFonts w:hint="eastAsia" w:ascii="Times New Roman" w:hAnsi="Times New Roman" w:eastAsia="仿宋_GB2312" w:cs="Times New Roman"/>
          <w:spacing w:val="-8"/>
          <w:sz w:val="28"/>
          <w:szCs w:val="28"/>
          <w:highlight w:val="none"/>
          <w:lang w:val="en-US" w:eastAsia="zh-CN" w:bidi="ar-SA"/>
        </w:rPr>
        <w:t>2</w:t>
      </w:r>
      <w:r>
        <w:rPr>
          <w:rFonts w:ascii="Times New Roman" w:hAnsi="Times New Roman" w:eastAsia="仿宋_GB2312" w:cs="Times New Roman"/>
          <w:spacing w:val="-8"/>
          <w:sz w:val="28"/>
          <w:szCs w:val="28"/>
          <w:highlight w:val="none"/>
          <w:lang w:val="en-US" w:eastAsia="zh-CN" w:bidi="ar-SA"/>
        </w:rPr>
        <w:t>6号</w:t>
      </w:r>
      <w:r>
        <w:rPr>
          <w:rFonts w:hint="eastAsia" w:ascii="Times New Roman" w:hAnsi="Times New Roman" w:eastAsia="仿宋_GB2312" w:cs="Times New Roman"/>
          <w:spacing w:val="-8"/>
          <w:sz w:val="28"/>
          <w:szCs w:val="28"/>
          <w:highlight w:val="none"/>
          <w:lang w:val="en-US" w:eastAsia="zh-CN" w:bidi="ar-SA"/>
        </w:rPr>
        <w:t>）指定，具体奖励按照《西安工商学院大学生竞赛奖励标准一览表》执行。</w:t>
      </w:r>
      <w:r>
        <w:rPr>
          <w:rFonts w:hint="eastAsia" w:ascii="Times New Roman" w:hAnsi="Times New Roman" w:eastAsia="仿宋_GB2312" w:cs="Times New Roman"/>
          <w:spacing w:val="-8"/>
          <w:sz w:val="28"/>
          <w:szCs w:val="28"/>
          <w:highlight w:val="none"/>
          <w:lang w:val="en-US" w:eastAsia="zh-CN" w:bidi="ar-SA"/>
        </w:rPr>
        <w:t>（见附件3）</w:t>
      </w:r>
      <w:r>
        <w:rPr>
          <w:rFonts w:hint="eastAsia" w:ascii="Times New Roman" w:hAnsi="Times New Roman" w:eastAsia="仿宋_GB2312" w:cs="Times New Roman"/>
          <w:spacing w:val="-8"/>
          <w:sz w:val="28"/>
          <w:szCs w:val="28"/>
          <w:highlight w:val="none"/>
          <w:lang w:val="en-US" w:eastAsia="zh-CN" w:bidi="ar-SA"/>
        </w:rPr>
        <w:t>。</w:t>
      </w:r>
    </w:p>
    <w:p>
      <w:pPr>
        <w:widowControl/>
        <w:ind w:firstLine="561" w:firstLineChars="200"/>
        <w:rPr>
          <w:rFonts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 xml:space="preserve">第十八条 </w:t>
      </w:r>
      <w:r>
        <w:rPr>
          <w:rFonts w:hint="eastAsia" w:ascii="Times New Roman" w:hAnsi="Times New Roman" w:eastAsia="仿宋_GB2312" w:cs="Times New Roman"/>
          <w:spacing w:val="-8"/>
          <w:sz w:val="28"/>
          <w:szCs w:val="28"/>
          <w:highlight w:val="none"/>
        </w:rPr>
        <w:t>学校</w:t>
      </w:r>
      <w:r>
        <w:rPr>
          <w:rFonts w:ascii="Times New Roman" w:hAnsi="Times New Roman" w:eastAsia="仿宋_GB2312" w:cs="Times New Roman"/>
          <w:spacing w:val="-8"/>
          <w:sz w:val="28"/>
          <w:szCs w:val="28"/>
          <w:highlight w:val="none"/>
        </w:rPr>
        <w:t>鼓励教师积极指导大学生</w:t>
      </w:r>
      <w:r>
        <w:rPr>
          <w:rFonts w:hint="eastAsia" w:ascii="Times New Roman" w:hAnsi="Times New Roman" w:eastAsia="仿宋_GB2312" w:cs="Times New Roman"/>
          <w:spacing w:val="-8"/>
          <w:sz w:val="28"/>
          <w:szCs w:val="28"/>
          <w:highlight w:val="none"/>
        </w:rPr>
        <w:t>竞赛</w:t>
      </w:r>
      <w:r>
        <w:rPr>
          <w:rFonts w:ascii="Times New Roman" w:hAnsi="Times New Roman" w:eastAsia="仿宋_GB2312" w:cs="Times New Roman"/>
          <w:spacing w:val="-8"/>
          <w:sz w:val="28"/>
          <w:szCs w:val="28"/>
          <w:highlight w:val="none"/>
        </w:rPr>
        <w:t>，在评优评先</w:t>
      </w:r>
      <w:r>
        <w:rPr>
          <w:rFonts w:hint="eastAsia" w:ascii="Times New Roman" w:hAnsi="Times New Roman" w:eastAsia="仿宋_GB2312" w:cs="Times New Roman"/>
          <w:spacing w:val="-8"/>
          <w:sz w:val="28"/>
          <w:szCs w:val="28"/>
          <w:highlight w:val="none"/>
        </w:rPr>
        <w:t>、</w:t>
      </w:r>
      <w:r>
        <w:rPr>
          <w:rFonts w:ascii="Times New Roman" w:hAnsi="Times New Roman" w:eastAsia="仿宋_GB2312" w:cs="Times New Roman"/>
          <w:spacing w:val="-8"/>
          <w:sz w:val="28"/>
          <w:szCs w:val="28"/>
          <w:highlight w:val="none"/>
        </w:rPr>
        <w:t>职称评定</w:t>
      </w:r>
      <w:r>
        <w:rPr>
          <w:rFonts w:hint="eastAsia" w:ascii="Times New Roman" w:hAnsi="Times New Roman" w:eastAsia="仿宋_GB2312" w:cs="Times New Roman"/>
          <w:spacing w:val="-8"/>
          <w:sz w:val="28"/>
          <w:szCs w:val="28"/>
          <w:highlight w:val="none"/>
        </w:rPr>
        <w:t>时，</w:t>
      </w:r>
      <w:r>
        <w:rPr>
          <w:rFonts w:ascii="Times New Roman" w:hAnsi="Times New Roman" w:eastAsia="仿宋_GB2312" w:cs="Times New Roman"/>
          <w:spacing w:val="-8"/>
          <w:sz w:val="28"/>
          <w:szCs w:val="28"/>
          <w:highlight w:val="none"/>
        </w:rPr>
        <w:t>同等情况下予以优先考虑。</w:t>
      </w:r>
    </w:p>
    <w:p>
      <w:pPr>
        <w:widowControl/>
        <w:ind w:firstLine="561" w:firstLineChars="200"/>
        <w:rPr>
          <w:rFonts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 xml:space="preserve">第十九条 </w:t>
      </w:r>
      <w:r>
        <w:rPr>
          <w:rFonts w:ascii="Times New Roman" w:hAnsi="Times New Roman" w:eastAsia="仿宋_GB2312" w:cs="Times New Roman"/>
          <w:spacing w:val="-8"/>
          <w:sz w:val="28"/>
          <w:szCs w:val="28"/>
          <w:highlight w:val="none"/>
        </w:rPr>
        <w:t>参加</w:t>
      </w:r>
      <w:r>
        <w:rPr>
          <w:rFonts w:hint="eastAsia" w:ascii="Times New Roman" w:hAnsi="Times New Roman" w:eastAsia="仿宋_GB2312" w:cs="Times New Roman"/>
          <w:spacing w:val="-8"/>
          <w:sz w:val="28"/>
          <w:szCs w:val="28"/>
          <w:highlight w:val="none"/>
        </w:rPr>
        <w:t>竞赛</w:t>
      </w:r>
      <w:r>
        <w:rPr>
          <w:rFonts w:ascii="Times New Roman" w:hAnsi="Times New Roman" w:eastAsia="仿宋_GB2312" w:cs="Times New Roman"/>
          <w:spacing w:val="-8"/>
          <w:sz w:val="28"/>
          <w:szCs w:val="28"/>
          <w:highlight w:val="none"/>
        </w:rPr>
        <w:t>并获奖的学生，在奖学金评定、各种学生评优评先中按照</w:t>
      </w:r>
      <w:r>
        <w:rPr>
          <w:rFonts w:hint="eastAsia" w:ascii="Times New Roman" w:hAnsi="Times New Roman" w:eastAsia="仿宋_GB2312" w:cs="Times New Roman"/>
          <w:spacing w:val="-8"/>
          <w:sz w:val="28"/>
          <w:szCs w:val="28"/>
          <w:highlight w:val="none"/>
        </w:rPr>
        <w:t>学校</w:t>
      </w:r>
      <w:r>
        <w:rPr>
          <w:rFonts w:ascii="Times New Roman" w:hAnsi="Times New Roman" w:eastAsia="仿宋_GB2312" w:cs="Times New Roman"/>
          <w:spacing w:val="-8"/>
          <w:sz w:val="28"/>
          <w:szCs w:val="28"/>
          <w:highlight w:val="none"/>
        </w:rPr>
        <w:t>相关规定予以加分。</w:t>
      </w:r>
    </w:p>
    <w:p>
      <w:pPr>
        <w:widowControl/>
        <w:ind w:firstLine="561" w:firstLineChars="200"/>
        <w:jc w:val="left"/>
        <w:rPr>
          <w:rFonts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 xml:space="preserve">第二十条 </w:t>
      </w:r>
      <w:r>
        <w:rPr>
          <w:rFonts w:ascii="Times New Roman" w:hAnsi="Times New Roman" w:eastAsia="仿宋_GB2312" w:cs="Times New Roman"/>
          <w:spacing w:val="-8"/>
          <w:sz w:val="28"/>
          <w:szCs w:val="28"/>
          <w:highlight w:val="none"/>
        </w:rPr>
        <w:t>各级各类</w:t>
      </w:r>
      <w:r>
        <w:rPr>
          <w:rFonts w:hint="eastAsia" w:ascii="Times New Roman" w:hAnsi="Times New Roman" w:eastAsia="仿宋_GB2312" w:cs="Times New Roman"/>
          <w:spacing w:val="-8"/>
          <w:sz w:val="28"/>
          <w:szCs w:val="28"/>
          <w:highlight w:val="none"/>
        </w:rPr>
        <w:t>竞赛</w:t>
      </w:r>
      <w:r>
        <w:rPr>
          <w:rFonts w:ascii="Times New Roman" w:hAnsi="Times New Roman" w:eastAsia="仿宋_GB2312" w:cs="Times New Roman"/>
          <w:spacing w:val="-8"/>
          <w:sz w:val="28"/>
          <w:szCs w:val="28"/>
          <w:highlight w:val="none"/>
        </w:rPr>
        <w:t>的获奖情况、学生参与情况和组织情况将纳入各单位</w:t>
      </w:r>
      <w:r>
        <w:rPr>
          <w:rFonts w:hint="eastAsia" w:ascii="Times New Roman" w:hAnsi="Times New Roman" w:eastAsia="仿宋_GB2312" w:cs="Times New Roman"/>
          <w:spacing w:val="-8"/>
          <w:sz w:val="28"/>
          <w:szCs w:val="28"/>
          <w:highlight w:val="none"/>
        </w:rPr>
        <w:t>年终</w:t>
      </w:r>
      <w:r>
        <w:rPr>
          <w:rFonts w:ascii="Times New Roman" w:hAnsi="Times New Roman" w:eastAsia="仿宋_GB2312" w:cs="Times New Roman"/>
          <w:spacing w:val="-8"/>
          <w:sz w:val="28"/>
          <w:szCs w:val="28"/>
          <w:highlight w:val="none"/>
        </w:rPr>
        <w:t>业绩考核</w:t>
      </w:r>
      <w:r>
        <w:rPr>
          <w:rFonts w:hint="eastAsia" w:ascii="Times New Roman" w:hAnsi="Times New Roman" w:eastAsia="仿宋_GB2312" w:cs="Times New Roman"/>
          <w:spacing w:val="-8"/>
          <w:sz w:val="28"/>
          <w:szCs w:val="28"/>
          <w:highlight w:val="none"/>
        </w:rPr>
        <w:t>内容</w:t>
      </w:r>
      <w:r>
        <w:rPr>
          <w:rFonts w:ascii="Times New Roman" w:hAnsi="Times New Roman" w:eastAsia="仿宋_GB2312" w:cs="Times New Roman"/>
          <w:spacing w:val="-8"/>
          <w:sz w:val="28"/>
          <w:szCs w:val="28"/>
          <w:highlight w:val="none"/>
        </w:rPr>
        <w:t>。</w:t>
      </w:r>
    </w:p>
    <w:p>
      <w:pPr>
        <w:widowControl/>
        <w:ind w:firstLine="561" w:firstLineChars="200"/>
        <w:jc w:val="left"/>
        <w:rPr>
          <w:rFonts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 xml:space="preserve">第二十一条 </w:t>
      </w:r>
      <w:r>
        <w:rPr>
          <w:rFonts w:ascii="Times New Roman" w:hAnsi="Times New Roman" w:eastAsia="仿宋_GB2312" w:cs="Times New Roman"/>
          <w:spacing w:val="-8"/>
          <w:sz w:val="28"/>
          <w:szCs w:val="28"/>
          <w:highlight w:val="none"/>
        </w:rPr>
        <w:t>指导教师以竞赛为单位进行奖励。对于相同的竞赛，同一指导教师在一个比赛周期内指导两个以上（含）参赛队（或个人）获得不同级别奖项的，按奖励标准从高到低奖励最高</w:t>
      </w:r>
      <w:r>
        <w:rPr>
          <w:rFonts w:hint="eastAsia" w:ascii="Times New Roman" w:hAnsi="Times New Roman" w:eastAsia="仿宋_GB2312" w:cs="Times New Roman"/>
          <w:spacing w:val="-8"/>
          <w:sz w:val="28"/>
          <w:szCs w:val="28"/>
          <w:highlight w:val="none"/>
        </w:rPr>
        <w:t>三</w:t>
      </w:r>
      <w:r>
        <w:rPr>
          <w:rFonts w:ascii="Times New Roman" w:hAnsi="Times New Roman" w:eastAsia="仿宋_GB2312" w:cs="Times New Roman"/>
          <w:spacing w:val="-8"/>
          <w:sz w:val="28"/>
          <w:szCs w:val="28"/>
          <w:highlight w:val="none"/>
        </w:rPr>
        <w:t>项。在同一奖项中有两名（含）以上指导教师的，由第一指导教师按各教师的贡献大小进行二次奖励分配。</w:t>
      </w:r>
    </w:p>
    <w:p>
      <w:pPr>
        <w:widowControl/>
        <w:ind w:firstLine="561" w:firstLineChars="200"/>
        <w:jc w:val="left"/>
        <w:rPr>
          <w:rFonts w:hint="eastAsia"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第二十二条</w:t>
      </w:r>
      <w:r>
        <w:rPr>
          <w:rFonts w:ascii="Times New Roman" w:hAnsi="Times New Roman" w:eastAsia="仿宋_GB2312" w:cs="Times New Roman"/>
          <w:spacing w:val="-8"/>
          <w:sz w:val="28"/>
          <w:szCs w:val="28"/>
          <w:highlight w:val="none"/>
        </w:rPr>
        <w:t xml:space="preserve"> 团体竞赛项目以参赛队为单位进行奖励，个人竞赛项目以个人为单位进行奖励。对于相同的竞赛项目，同一参赛队（个人）在一个比赛周期内同时获得</w:t>
      </w:r>
      <w:r>
        <w:rPr>
          <w:rFonts w:hint="eastAsia" w:ascii="Times New Roman" w:hAnsi="Times New Roman" w:eastAsia="仿宋_GB2312" w:cs="Times New Roman"/>
          <w:spacing w:val="-8"/>
          <w:sz w:val="28"/>
          <w:szCs w:val="28"/>
          <w:highlight w:val="none"/>
        </w:rPr>
        <w:t>多个</w:t>
      </w:r>
      <w:r>
        <w:rPr>
          <w:rFonts w:ascii="Times New Roman" w:hAnsi="Times New Roman" w:eastAsia="仿宋_GB2312" w:cs="Times New Roman"/>
          <w:spacing w:val="-8"/>
          <w:sz w:val="28"/>
          <w:szCs w:val="28"/>
          <w:highlight w:val="none"/>
        </w:rPr>
        <w:t>奖项的，按最高奖项标准奖励。</w:t>
      </w:r>
      <w:r>
        <w:rPr>
          <w:rFonts w:hint="eastAsia" w:ascii="Times New Roman" w:hAnsi="Times New Roman" w:eastAsia="仿宋_GB2312" w:cs="Times New Roman"/>
          <w:spacing w:val="-8"/>
          <w:sz w:val="28"/>
          <w:szCs w:val="28"/>
          <w:highlight w:val="none"/>
        </w:rPr>
        <w:t>比赛如果同时设团体奖和个人奖，同一获奖者不能同时获得两个奖项的奖励。</w:t>
      </w:r>
    </w:p>
    <w:p>
      <w:pPr>
        <w:widowControl/>
        <w:ind w:firstLine="561" w:firstLineChars="200"/>
        <w:jc w:val="left"/>
        <w:rPr>
          <w:rFonts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第二十三条</w:t>
      </w:r>
      <w:r>
        <w:rPr>
          <w:rFonts w:ascii="Times New Roman" w:hAnsi="Times New Roman" w:eastAsia="仿宋_GB2312" w:cs="Times New Roman"/>
          <w:spacing w:val="-8"/>
          <w:sz w:val="28"/>
          <w:szCs w:val="28"/>
          <w:highlight w:val="none"/>
        </w:rPr>
        <w:t xml:space="preserve"> </w:t>
      </w:r>
      <w:r>
        <w:rPr>
          <w:rFonts w:hint="eastAsia" w:ascii="Times New Roman" w:hAnsi="Times New Roman" w:eastAsia="仿宋_GB2312" w:cs="Times New Roman"/>
          <w:spacing w:val="-8"/>
          <w:sz w:val="28"/>
          <w:szCs w:val="28"/>
          <w:highlight w:val="none"/>
        </w:rPr>
        <w:t xml:space="preserve"> 对没有省赛或区域赛的全国范围性比赛，获奖奖励参照省级竞赛奖励执行。</w:t>
      </w:r>
    </w:p>
    <w:p>
      <w:pPr>
        <w:widowControl/>
        <w:ind w:firstLine="561" w:firstLineChars="200"/>
        <w:jc w:val="left"/>
        <w:rPr>
          <w:rFonts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第二十四条</w:t>
      </w:r>
      <w:r>
        <w:rPr>
          <w:rFonts w:ascii="Times New Roman" w:hAnsi="Times New Roman" w:eastAsia="仿宋_GB2312" w:cs="Times New Roman"/>
          <w:spacing w:val="-8"/>
          <w:sz w:val="28"/>
          <w:szCs w:val="28"/>
          <w:highlight w:val="none"/>
        </w:rPr>
        <w:t xml:space="preserve"> </w:t>
      </w:r>
      <w:r>
        <w:rPr>
          <w:rFonts w:hint="eastAsia" w:ascii="Times New Roman" w:hAnsi="Times New Roman" w:eastAsia="仿宋_GB2312" w:cs="Times New Roman"/>
          <w:spacing w:val="-8"/>
          <w:sz w:val="28"/>
          <w:szCs w:val="28"/>
          <w:highlight w:val="none"/>
        </w:rPr>
        <w:t xml:space="preserve"> 对没有进行立项的竞赛不予奖励和工作量认定。</w:t>
      </w:r>
    </w:p>
    <w:p>
      <w:pPr>
        <w:widowControl/>
        <w:ind w:firstLine="528" w:firstLineChars="200"/>
        <w:jc w:val="left"/>
        <w:rPr>
          <w:rFonts w:ascii="Times New Roman" w:hAnsi="Times New Roman" w:eastAsia="仿宋_GB2312" w:cs="Times New Roman"/>
          <w:spacing w:val="-8"/>
          <w:sz w:val="28"/>
          <w:szCs w:val="28"/>
          <w:highlight w:val="none"/>
        </w:rPr>
      </w:pPr>
    </w:p>
    <w:p>
      <w:pPr>
        <w:widowControl/>
        <w:ind w:firstLine="562" w:firstLineChars="200"/>
        <w:jc w:val="center"/>
        <w:rPr>
          <w:rFonts w:ascii="Times New Roman" w:hAnsi="Times New Roman" w:eastAsia="仿宋_GB2312" w:cs="Times New Roman"/>
          <w:spacing w:val="-8"/>
          <w:sz w:val="28"/>
          <w:szCs w:val="28"/>
          <w:highlight w:val="none"/>
        </w:rPr>
      </w:pPr>
      <w:r>
        <w:rPr>
          <w:rFonts w:hint="eastAsia" w:ascii="黑体" w:hAnsi="黑体" w:eastAsia="黑体" w:cs="黑体"/>
          <w:b/>
          <w:bCs/>
          <w:sz w:val="28"/>
          <w:szCs w:val="28"/>
          <w:highlight w:val="none"/>
        </w:rPr>
        <w:t>第七章 竞赛结果的使用</w:t>
      </w:r>
    </w:p>
    <w:p>
      <w:pPr>
        <w:widowControl/>
        <w:ind w:firstLine="561" w:firstLineChars="200"/>
        <w:jc w:val="left"/>
        <w:rPr>
          <w:rFonts w:ascii="Times New Roman" w:hAnsi="Times New Roman" w:eastAsia="仿宋_GB2312" w:cs="Times New Roman"/>
          <w:spacing w:val="-8"/>
          <w:sz w:val="28"/>
          <w:szCs w:val="28"/>
          <w:highlight w:val="none"/>
        </w:rPr>
      </w:pPr>
      <w:r>
        <w:rPr>
          <w:rFonts w:hint="eastAsia" w:ascii="华文楷体" w:hAnsi="华文楷体" w:eastAsia="华文楷体" w:cs="华文楷体"/>
          <w:b/>
          <w:bCs/>
          <w:sz w:val="28"/>
          <w:szCs w:val="28"/>
          <w:highlight w:val="none"/>
        </w:rPr>
        <w:t>第二十五条</w:t>
      </w:r>
      <w:r>
        <w:rPr>
          <w:rFonts w:hint="eastAsia" w:ascii="Times New Roman" w:hAnsi="Times New Roman" w:eastAsia="仿宋_GB2312" w:cs="Times New Roman"/>
          <w:spacing w:val="-8"/>
          <w:sz w:val="28"/>
          <w:szCs w:val="28"/>
          <w:highlight w:val="none"/>
        </w:rPr>
        <w:t xml:space="preserve"> </w:t>
      </w:r>
      <w:r>
        <w:rPr>
          <w:rFonts w:ascii="Times New Roman" w:hAnsi="Times New Roman" w:eastAsia="仿宋_GB2312" w:cs="Times New Roman"/>
          <w:spacing w:val="-8"/>
          <w:sz w:val="28"/>
          <w:szCs w:val="28"/>
          <w:highlight w:val="none"/>
        </w:rPr>
        <w:t>竞赛过程中产生的优秀作品、案例是学校创新创业教育的重要成果，所有权归</w:t>
      </w:r>
      <w:r>
        <w:rPr>
          <w:rFonts w:hint="eastAsia" w:ascii="Times New Roman" w:hAnsi="Times New Roman" w:eastAsia="仿宋_GB2312" w:cs="Times New Roman"/>
          <w:spacing w:val="-8"/>
          <w:sz w:val="28"/>
          <w:szCs w:val="28"/>
          <w:highlight w:val="none"/>
        </w:rPr>
        <w:t>西安工商学院</w:t>
      </w:r>
      <w:r>
        <w:rPr>
          <w:rFonts w:ascii="Times New Roman" w:hAnsi="Times New Roman" w:eastAsia="仿宋_GB2312" w:cs="Times New Roman"/>
          <w:spacing w:val="-8"/>
          <w:sz w:val="28"/>
          <w:szCs w:val="28"/>
          <w:highlight w:val="none"/>
        </w:rPr>
        <w:t>，未经允许不得私自处理。竞赛负责人应妥善保管获奖作品、源代码等，并将其作为典型案例适时用于创新创业成果展示、竞赛培训、课程改革和教材建设等人才培养相关工作中。</w:t>
      </w:r>
    </w:p>
    <w:p>
      <w:pPr>
        <w:widowControl/>
        <w:ind w:firstLine="562" w:firstLineChars="200"/>
        <w:jc w:val="center"/>
        <w:rPr>
          <w:rFonts w:ascii="黑体" w:hAnsi="宋体" w:eastAsia="黑体" w:cs="黑体"/>
          <w:b/>
          <w:bCs/>
          <w:kern w:val="0"/>
          <w:sz w:val="28"/>
          <w:szCs w:val="28"/>
          <w:highlight w:val="none"/>
          <w:lang w:bidi="ar"/>
        </w:rPr>
      </w:pPr>
      <w:r>
        <w:rPr>
          <w:rFonts w:hint="eastAsia" w:ascii="黑体" w:hAnsi="黑体" w:eastAsia="黑体" w:cs="黑体"/>
          <w:b/>
          <w:bCs/>
          <w:sz w:val="28"/>
          <w:szCs w:val="28"/>
          <w:highlight w:val="none"/>
        </w:rPr>
        <w:t>第八章 附则</w:t>
      </w:r>
    </w:p>
    <w:p>
      <w:pPr>
        <w:widowControl/>
        <w:ind w:firstLine="561" w:firstLineChars="200"/>
        <w:jc w:val="left"/>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 xml:space="preserve">第二十六条 </w:t>
      </w:r>
      <w:r>
        <w:rPr>
          <w:rFonts w:hint="eastAsia" w:ascii="仿宋_GB2312" w:hAnsi="仿宋_GB2312" w:eastAsia="仿宋_GB2312" w:cs="仿宋_GB2312"/>
          <w:kern w:val="0"/>
          <w:sz w:val="28"/>
          <w:szCs w:val="28"/>
          <w:highlight w:val="none"/>
          <w:lang w:bidi="ar"/>
        </w:rPr>
        <w:t>竞赛采购的非一次性耗材在使用结束后，由项目负责人验收并报后勤保卫处进行资产登记入账，二级学院负责保管，学校统一调配使用。</w:t>
      </w:r>
    </w:p>
    <w:p>
      <w:pPr>
        <w:widowControl/>
        <w:ind w:firstLine="561" w:firstLineChars="200"/>
        <w:jc w:val="left"/>
        <w:rPr>
          <w:rFonts w:ascii="仿宋_GB2312" w:hAnsi="仿宋_GB2312" w:eastAsia="仿宋_GB2312" w:cs="仿宋_GB2312"/>
          <w:kern w:val="0"/>
          <w:sz w:val="28"/>
          <w:szCs w:val="28"/>
          <w:highlight w:val="none"/>
          <w:lang w:bidi="ar"/>
        </w:rPr>
      </w:pPr>
      <w:r>
        <w:rPr>
          <w:rFonts w:hint="eastAsia" w:ascii="华文楷体" w:hAnsi="华文楷体" w:eastAsia="华文楷体" w:cs="华文楷体"/>
          <w:b/>
          <w:bCs/>
          <w:sz w:val="28"/>
          <w:szCs w:val="28"/>
          <w:highlight w:val="none"/>
        </w:rPr>
        <w:t xml:space="preserve">第二十七条 </w:t>
      </w:r>
      <w:r>
        <w:rPr>
          <w:rFonts w:hint="eastAsia" w:ascii="仿宋_GB2312" w:hAnsi="仿宋_GB2312" w:eastAsia="仿宋_GB2312" w:cs="仿宋_GB2312"/>
          <w:kern w:val="0"/>
          <w:sz w:val="28"/>
          <w:szCs w:val="28"/>
          <w:highlight w:val="none"/>
          <w:lang w:bidi="ar"/>
        </w:rPr>
        <w:t>本办法自颁发之日起执行，由乡村振兴人才学院创新创业教育中心负责解释。</w:t>
      </w:r>
    </w:p>
    <w:p>
      <w:pPr>
        <w:rPr>
          <w:rFonts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br w:type="page"/>
      </w:r>
    </w:p>
    <w:p>
      <w:pPr>
        <w:widowControl/>
        <w:rPr>
          <w:rFonts w:hint="eastAsia" w:ascii="仿宋_GB2312" w:hAnsi="仿宋_GB2312" w:eastAsia="仿宋_GB2312" w:cs="仿宋_GB2312"/>
          <w:kern w:val="0"/>
          <w:sz w:val="24"/>
          <w:highlight w:val="none"/>
          <w:lang w:bidi="ar"/>
        </w:rPr>
        <w:sectPr>
          <w:pgSz w:w="11906" w:h="16838"/>
          <w:pgMar w:top="1440" w:right="1800" w:bottom="1440" w:left="1800" w:header="851" w:footer="992" w:gutter="0"/>
          <w:cols w:space="425" w:num="1"/>
          <w:docGrid w:type="lines" w:linePitch="312" w:charSpace="0"/>
        </w:sectPr>
      </w:pPr>
    </w:p>
    <w:p>
      <w:pPr>
        <w:widowControl/>
        <w:rPr>
          <w:rFonts w:hint="eastAsia" w:ascii="仿宋_GB2312" w:hAnsi="仿宋_GB2312" w:eastAsia="仿宋_GB2312" w:cs="仿宋_GB2312"/>
          <w:kern w:val="0"/>
          <w:sz w:val="24"/>
          <w:highlight w:val="none"/>
          <w:lang w:val="en-US" w:eastAsia="zh-CN" w:bidi="ar"/>
        </w:rPr>
      </w:pPr>
    </w:p>
    <w:p>
      <w:pPr>
        <w:widowControl/>
        <w:rPr>
          <w:rFonts w:hint="default"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val="en-US" w:eastAsia="zh-CN" w:bidi="ar"/>
        </w:rPr>
        <w:t>填表人：                                                                   审批（公章）：</w:t>
      </w:r>
    </w:p>
    <w:tbl>
      <w:tblPr>
        <w:tblStyle w:val="5"/>
        <w:tblpPr w:leftFromText="180" w:rightFromText="180" w:vertAnchor="page" w:horzAnchor="page" w:tblpXSpec="center" w:tblpY="1878"/>
        <w:tblOverlap w:val="never"/>
        <w:tblW w:w="15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1209"/>
        <w:gridCol w:w="1155"/>
        <w:gridCol w:w="1560"/>
        <w:gridCol w:w="975"/>
        <w:gridCol w:w="885"/>
        <w:gridCol w:w="705"/>
        <w:gridCol w:w="765"/>
        <w:gridCol w:w="780"/>
        <w:gridCol w:w="765"/>
        <w:gridCol w:w="780"/>
        <w:gridCol w:w="1350"/>
        <w:gridCol w:w="915"/>
        <w:gridCol w:w="915"/>
        <w:gridCol w:w="88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5372" w:type="dxa"/>
            <w:gridSpan w:val="16"/>
            <w:tcBorders>
              <w:top w:val="nil"/>
              <w:left w:val="nil"/>
              <w:bottom w:val="nil"/>
              <w:right w:val="nil"/>
            </w:tcBorders>
            <w:shd w:val="clear" w:color="auto" w:fill="auto"/>
            <w:vAlign w:val="center"/>
          </w:tcPr>
          <w:p>
            <w:pPr>
              <w:widowControl/>
              <w:rPr>
                <w:rFonts w:hint="eastAsia" w:ascii="仿宋_GB2312" w:hAnsi="仿宋_GB2312" w:eastAsia="仿宋_GB2312" w:cs="仿宋_GB2312"/>
                <w:kern w:val="0"/>
                <w:sz w:val="24"/>
                <w:highlight w:val="none"/>
                <w:lang w:val="en-US" w:eastAsia="zh-CN" w:bidi="ar"/>
              </w:rPr>
            </w:pPr>
            <w:r>
              <w:rPr>
                <w:rFonts w:hint="eastAsia" w:ascii="仿宋_GB2312" w:hAnsi="仿宋_GB2312" w:eastAsia="仿宋_GB2312" w:cs="仿宋_GB2312"/>
                <w:kern w:val="0"/>
                <w:sz w:val="24"/>
                <w:highlight w:val="none"/>
                <w:lang w:bidi="ar"/>
              </w:rPr>
              <w:t>附件</w:t>
            </w:r>
            <w:r>
              <w:rPr>
                <w:rFonts w:hint="eastAsia" w:ascii="仿宋_GB2312" w:hAnsi="仿宋_GB2312" w:eastAsia="仿宋_GB2312" w:cs="仿宋_GB2312"/>
                <w:kern w:val="0"/>
                <w:sz w:val="24"/>
                <w:highlight w:val="none"/>
                <w:lang w:val="en-US" w:eastAsia="zh-CN" w:bidi="ar"/>
              </w:rPr>
              <w:t>1：</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黑体" w:hAnsi="黑体" w:eastAsia="黑体" w:cs="黑体"/>
                <w:b/>
                <w:bCs/>
                <w:sz w:val="28"/>
                <w:szCs w:val="28"/>
                <w:highlight w:val="none"/>
                <w:u w:val="single"/>
                <w:lang w:val="en-US" w:eastAsia="zh-CN"/>
              </w:rPr>
              <w:t xml:space="preserve">     </w:t>
            </w:r>
            <w:r>
              <w:rPr>
                <w:rFonts w:hint="eastAsia" w:ascii="黑体" w:hAnsi="黑体" w:eastAsia="黑体" w:cs="黑体"/>
                <w:b/>
                <w:bCs/>
                <w:sz w:val="28"/>
                <w:szCs w:val="28"/>
                <w:highlight w:val="none"/>
                <w:lang w:val="en-US" w:eastAsia="zh-CN"/>
              </w:rPr>
              <w:t>年西安工商学院大学生竞赛分级分类目录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15372" w:type="dxa"/>
            <w:gridSpan w:val="1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申报单位：</w:t>
            </w:r>
            <w:r>
              <w:rPr>
                <w:rFonts w:hint="eastAsia" w:ascii="仿宋" w:hAnsi="仿宋" w:eastAsia="仿宋" w:cs="仿宋"/>
                <w:i w:val="0"/>
                <w:iCs w:val="0"/>
                <w:color w:val="000000"/>
                <w:kern w:val="0"/>
                <w:sz w:val="21"/>
                <w:szCs w:val="21"/>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竞赛名称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主办单位</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牵头组织单位</w:t>
            </w:r>
          </w:p>
        </w:tc>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推荐竞赛奖励级别</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推荐竞赛奖励类别</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竞赛分类</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一院一品牌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国际级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国家级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省级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校级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Ⅰ类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Ⅱ类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Ⅲ类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创新创业类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学科类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艺体类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其他类</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bl>
    <w:p>
      <w:pPr>
        <w:widowControl/>
        <w:rPr>
          <w:rFonts w:hint="eastAsia" w:ascii="仿宋_GB2312" w:hAnsi="仿宋_GB2312" w:eastAsia="仿宋_GB2312" w:cs="仿宋_GB2312"/>
          <w:kern w:val="0"/>
          <w:sz w:val="24"/>
          <w:highlight w:val="none"/>
          <w:lang w:val="en-US" w:eastAsia="zh-CN" w:bidi="ar"/>
        </w:rPr>
      </w:pPr>
    </w:p>
    <w:p>
      <w:pPr>
        <w:widowControl/>
        <w:rPr>
          <w:rFonts w:hint="eastAsia" w:ascii="仿宋_GB2312" w:hAnsi="仿宋_GB2312" w:eastAsia="仿宋_GB2312" w:cs="仿宋_GB2312"/>
          <w:kern w:val="0"/>
          <w:sz w:val="24"/>
          <w:highlight w:val="none"/>
          <w:lang w:val="en-US" w:eastAsia="zh-CN" w:bidi="ar"/>
        </w:rPr>
      </w:pPr>
    </w:p>
    <w:p>
      <w:pPr>
        <w:widowControl/>
        <w:rPr>
          <w:rFonts w:hint="eastAsia" w:ascii="仿宋_GB2312" w:hAnsi="仿宋_GB2312" w:eastAsia="仿宋_GB2312" w:cs="仿宋_GB2312"/>
          <w:kern w:val="0"/>
          <w:sz w:val="24"/>
          <w:highlight w:val="none"/>
          <w:lang w:val="en-US" w:eastAsia="zh-CN" w:bidi="ar"/>
        </w:rPr>
        <w:sectPr>
          <w:pgSz w:w="16838" w:h="11906" w:orient="landscape"/>
          <w:pgMar w:top="1800" w:right="1440" w:bottom="1800" w:left="1440" w:header="851" w:footer="992" w:gutter="0"/>
          <w:cols w:space="425" w:num="1"/>
          <w:docGrid w:type="lines" w:linePitch="312" w:charSpace="0"/>
        </w:sectPr>
      </w:pPr>
    </w:p>
    <w:p>
      <w:pPr>
        <w:widowControl/>
        <w:rPr>
          <w:rFonts w:ascii="黑体" w:hAnsi="黑体" w:eastAsia="黑体" w:cs="黑体"/>
          <w:b/>
          <w:bCs/>
          <w:sz w:val="24"/>
          <w:highlight w:val="none"/>
        </w:rPr>
      </w:pPr>
      <w:r>
        <w:rPr>
          <w:rFonts w:hint="eastAsia" w:ascii="仿宋_GB2312" w:hAnsi="仿宋_GB2312" w:eastAsia="仿宋_GB2312" w:cs="仿宋_GB2312"/>
          <w:kern w:val="0"/>
          <w:sz w:val="24"/>
          <w:highlight w:val="none"/>
          <w:lang w:bidi="ar"/>
        </w:rPr>
        <w:t>附件</w:t>
      </w:r>
      <w:r>
        <w:rPr>
          <w:rFonts w:hint="eastAsia" w:ascii="仿宋_GB2312" w:hAnsi="仿宋_GB2312" w:eastAsia="仿宋_GB2312" w:cs="仿宋_GB2312"/>
          <w:kern w:val="0"/>
          <w:sz w:val="24"/>
          <w:highlight w:val="none"/>
          <w:lang w:val="en-US" w:eastAsia="zh-CN" w:bidi="ar"/>
        </w:rPr>
        <w:t>2</w:t>
      </w:r>
      <w:r>
        <w:rPr>
          <w:rFonts w:hint="eastAsia" w:ascii="仿宋_GB2312" w:hAnsi="仿宋_GB2312" w:eastAsia="仿宋_GB2312" w:cs="仿宋_GB2312"/>
          <w:kern w:val="0"/>
          <w:sz w:val="24"/>
          <w:highlight w:val="none"/>
          <w:lang w:bidi="ar"/>
        </w:rPr>
        <w:t>：</w:t>
      </w:r>
    </w:p>
    <w:p>
      <w:pPr>
        <w:widowControl/>
        <w:ind w:firstLine="562" w:firstLineChars="200"/>
        <w:jc w:val="center"/>
        <w:rPr>
          <w:rFonts w:ascii="黑体" w:hAnsi="黑体" w:eastAsia="黑体" w:cs="黑体"/>
          <w:b/>
          <w:bCs/>
          <w:sz w:val="28"/>
          <w:szCs w:val="28"/>
          <w:highlight w:val="none"/>
        </w:rPr>
      </w:pPr>
      <w:r>
        <w:rPr>
          <w:rFonts w:hint="eastAsia" w:ascii="黑体" w:hAnsi="黑体" w:eastAsia="黑体" w:cs="黑体"/>
          <w:b/>
          <w:bCs/>
          <w:sz w:val="28"/>
          <w:szCs w:val="28"/>
          <w:highlight w:val="none"/>
        </w:rPr>
        <w:t>西安工商学院大学生竞赛审批表</w:t>
      </w:r>
    </w:p>
    <w:tbl>
      <w:tblPr>
        <w:tblStyle w:val="5"/>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600"/>
        <w:gridCol w:w="2213"/>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竞赛名称</w:t>
            </w:r>
          </w:p>
        </w:tc>
        <w:tc>
          <w:tcPr>
            <w:tcW w:w="6929" w:type="dxa"/>
            <w:gridSpan w:val="3"/>
            <w:vAlign w:val="center"/>
          </w:tcPr>
          <w:p>
            <w:pPr>
              <w:jc w:val="center"/>
              <w:rPr>
                <w:rFonts w:ascii="Times New Roman" w:hAnsi="Times New Roman" w:eastAsia="仿宋_GB2312"/>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主办单位</w:t>
            </w:r>
          </w:p>
        </w:tc>
        <w:tc>
          <w:tcPr>
            <w:tcW w:w="6929" w:type="dxa"/>
            <w:gridSpan w:val="3"/>
            <w:vAlign w:val="center"/>
          </w:tcPr>
          <w:p>
            <w:pPr>
              <w:jc w:val="center"/>
              <w:rPr>
                <w:rFonts w:ascii="Times New Roman" w:hAnsi="Times New Roman" w:eastAsia="仿宋_GB2312"/>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承办院（部门）</w:t>
            </w:r>
          </w:p>
        </w:tc>
        <w:tc>
          <w:tcPr>
            <w:tcW w:w="2600" w:type="dxa"/>
            <w:vAlign w:val="center"/>
          </w:tcPr>
          <w:p>
            <w:pPr>
              <w:jc w:val="center"/>
              <w:rPr>
                <w:rFonts w:ascii="Times New Roman" w:hAnsi="Times New Roman" w:eastAsia="仿宋_GB2312"/>
                <w:sz w:val="24"/>
                <w:szCs w:val="21"/>
                <w:highlight w:val="none"/>
              </w:rPr>
            </w:pPr>
          </w:p>
        </w:tc>
        <w:tc>
          <w:tcPr>
            <w:tcW w:w="2213" w:type="dxa"/>
            <w:vAlign w:val="center"/>
          </w:tcPr>
          <w:p>
            <w:pPr>
              <w:jc w:val="center"/>
              <w:rPr>
                <w:rFonts w:ascii="Times New Roman" w:hAnsi="Times New Roman" w:eastAsia="仿宋_GB2312"/>
                <w:b/>
                <w:sz w:val="24"/>
                <w:szCs w:val="28"/>
                <w:highlight w:val="none"/>
              </w:rPr>
            </w:pPr>
            <w:r>
              <w:rPr>
                <w:rFonts w:hint="eastAsia" w:ascii="Times New Roman" w:hAnsi="Times New Roman" w:eastAsia="仿宋_GB2312"/>
                <w:sz w:val="24"/>
                <w:szCs w:val="21"/>
                <w:highlight w:val="none"/>
              </w:rPr>
              <w:t>参赛组数</w:t>
            </w:r>
            <w:r>
              <w:rPr>
                <w:rFonts w:ascii="Times New Roman" w:hAnsi="Times New Roman" w:eastAsia="仿宋_GB2312"/>
                <w:sz w:val="24"/>
                <w:szCs w:val="21"/>
                <w:highlight w:val="none"/>
              </w:rPr>
              <w:t>/</w:t>
            </w:r>
            <w:r>
              <w:rPr>
                <w:rFonts w:hint="eastAsia" w:ascii="Times New Roman" w:hAnsi="Times New Roman" w:eastAsia="仿宋_GB2312"/>
                <w:sz w:val="24"/>
                <w:szCs w:val="21"/>
                <w:highlight w:val="none"/>
              </w:rPr>
              <w:t>人数</w:t>
            </w:r>
          </w:p>
        </w:tc>
        <w:tc>
          <w:tcPr>
            <w:tcW w:w="2116" w:type="dxa"/>
            <w:vAlign w:val="center"/>
          </w:tcPr>
          <w:p>
            <w:pPr>
              <w:jc w:val="center"/>
              <w:rPr>
                <w:rFonts w:ascii="Times New Roman" w:hAnsi="Times New Roman" w:eastAsia="仿宋_GB2312"/>
                <w:b/>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比赛时间</w:t>
            </w:r>
          </w:p>
        </w:tc>
        <w:tc>
          <w:tcPr>
            <w:tcW w:w="2600" w:type="dxa"/>
            <w:vAlign w:val="center"/>
          </w:tcPr>
          <w:p>
            <w:pPr>
              <w:jc w:val="center"/>
              <w:rPr>
                <w:rFonts w:ascii="Times New Roman" w:hAnsi="Times New Roman" w:eastAsia="仿宋_GB2312"/>
                <w:sz w:val="24"/>
                <w:szCs w:val="21"/>
                <w:highlight w:val="none"/>
              </w:rPr>
            </w:pPr>
          </w:p>
        </w:tc>
        <w:tc>
          <w:tcPr>
            <w:tcW w:w="2213"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比赛地点</w:t>
            </w:r>
          </w:p>
        </w:tc>
        <w:tc>
          <w:tcPr>
            <w:tcW w:w="2116" w:type="dxa"/>
            <w:vAlign w:val="center"/>
          </w:tcPr>
          <w:p>
            <w:pPr>
              <w:jc w:val="center"/>
              <w:rPr>
                <w:rFonts w:ascii="Times New Roman" w:hAnsi="Times New Roman" w:eastAsia="仿宋_GB2312"/>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竞赛负责人</w:t>
            </w:r>
          </w:p>
        </w:tc>
        <w:tc>
          <w:tcPr>
            <w:tcW w:w="2600" w:type="dxa"/>
            <w:vAlign w:val="center"/>
          </w:tcPr>
          <w:p>
            <w:pPr>
              <w:jc w:val="center"/>
              <w:rPr>
                <w:rFonts w:ascii="Times New Roman" w:hAnsi="Times New Roman" w:eastAsia="仿宋_GB2312"/>
                <w:sz w:val="24"/>
                <w:szCs w:val="21"/>
                <w:highlight w:val="none"/>
              </w:rPr>
            </w:pPr>
          </w:p>
        </w:tc>
        <w:tc>
          <w:tcPr>
            <w:tcW w:w="2213"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联系方式</w:t>
            </w:r>
          </w:p>
        </w:tc>
        <w:tc>
          <w:tcPr>
            <w:tcW w:w="2116" w:type="dxa"/>
            <w:vAlign w:val="center"/>
          </w:tcPr>
          <w:p>
            <w:pPr>
              <w:jc w:val="center"/>
              <w:rPr>
                <w:rFonts w:ascii="Times New Roman" w:hAnsi="Times New Roman" w:eastAsia="仿宋_GB2312"/>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3"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竞赛简介</w:t>
            </w:r>
          </w:p>
        </w:tc>
        <w:tc>
          <w:tcPr>
            <w:tcW w:w="6929" w:type="dxa"/>
            <w:gridSpan w:val="3"/>
          </w:tcPr>
          <w:p>
            <w:pPr>
              <w:adjustRightInd w:val="0"/>
              <w:snapToGrid w:val="0"/>
              <w:rPr>
                <w:rFonts w:ascii="Times New Roman" w:hAnsi="Times New Roman" w:eastAsia="仿宋_GB2312"/>
                <w:szCs w:val="21"/>
                <w:highlight w:val="none"/>
              </w:rPr>
            </w:pPr>
            <w:r>
              <w:rPr>
                <w:rFonts w:hint="eastAsia" w:ascii="Times New Roman" w:hAnsi="Times New Roman" w:eastAsia="仿宋_GB2312"/>
                <w:szCs w:val="21"/>
                <w:highlight w:val="none"/>
              </w:rPr>
              <w:t>（本届竞赛的级别，竞赛内容，奖项设置，竞赛举办目的、竞赛历史、竞赛影响力等）</w:t>
            </w:r>
          </w:p>
          <w:p>
            <w:pPr>
              <w:rPr>
                <w:rFonts w:ascii="Times New Roman" w:hAnsi="Times New Roman" w:eastAsia="仿宋_GB2312"/>
                <w:sz w:val="24"/>
                <w:szCs w:val="21"/>
                <w:highlight w:val="none"/>
              </w:rPr>
            </w:pPr>
          </w:p>
          <w:p>
            <w:pPr>
              <w:rPr>
                <w:rFonts w:ascii="Times New Roman" w:hAnsi="Times New Roman" w:eastAsia="仿宋_GB2312"/>
                <w:sz w:val="24"/>
                <w:szCs w:val="21"/>
                <w:highlight w:val="none"/>
              </w:rPr>
            </w:pPr>
          </w:p>
          <w:p>
            <w:pPr>
              <w:rPr>
                <w:rFonts w:ascii="Times New Roman" w:hAnsi="Times New Roman" w:eastAsia="仿宋_GB2312"/>
                <w:sz w:val="24"/>
                <w:szCs w:val="21"/>
                <w:highlight w:val="none"/>
              </w:rPr>
            </w:pPr>
          </w:p>
          <w:p>
            <w:pPr>
              <w:rPr>
                <w:rFonts w:ascii="Times New Roman" w:hAnsi="Times New Roman" w:eastAsia="仿宋_GB2312"/>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经费预算明细</w:t>
            </w:r>
          </w:p>
        </w:tc>
        <w:tc>
          <w:tcPr>
            <w:tcW w:w="6929" w:type="dxa"/>
            <w:gridSpan w:val="3"/>
          </w:tcPr>
          <w:p>
            <w:pPr>
              <w:adjustRightInd w:val="0"/>
              <w:snapToGrid w:val="0"/>
              <w:rPr>
                <w:rFonts w:ascii="Times New Roman" w:hAnsi="Times New Roman"/>
                <w:sz w:val="24"/>
                <w:highlight w:val="none"/>
              </w:rPr>
            </w:pPr>
            <w:r>
              <w:rPr>
                <w:rFonts w:hint="eastAsia" w:ascii="Times New Roman" w:hAnsi="Times New Roman"/>
                <w:sz w:val="24"/>
                <w:highlight w:val="none"/>
              </w:rPr>
              <w:t>(</w:t>
            </w:r>
            <w:r>
              <w:rPr>
                <w:rFonts w:hint="eastAsia" w:ascii="Times New Roman" w:hAnsi="Times New Roman" w:eastAsia="仿宋_GB2312"/>
                <w:szCs w:val="21"/>
                <w:highlight w:val="none"/>
              </w:rPr>
              <w:t>经费</w:t>
            </w:r>
            <w:r>
              <w:rPr>
                <w:rFonts w:ascii="Times New Roman" w:hAnsi="Times New Roman" w:eastAsia="仿宋_GB2312"/>
                <w:szCs w:val="21"/>
                <w:highlight w:val="none"/>
              </w:rPr>
              <w:t>预算明细要细致到每一项，如交通费、报名费、材料费</w:t>
            </w:r>
            <w:r>
              <w:rPr>
                <w:rFonts w:hint="eastAsia" w:ascii="Times New Roman" w:hAnsi="Times New Roman" w:eastAsia="仿宋_GB2312"/>
                <w:szCs w:val="21"/>
                <w:highlight w:val="none"/>
              </w:rPr>
              <w:t>、住宿费</w:t>
            </w:r>
            <w:r>
              <w:rPr>
                <w:rFonts w:ascii="Times New Roman" w:hAnsi="Times New Roman" w:eastAsia="仿宋_GB2312"/>
                <w:szCs w:val="21"/>
                <w:highlight w:val="none"/>
              </w:rPr>
              <w:t>等</w:t>
            </w:r>
            <w:r>
              <w:rPr>
                <w:rFonts w:hint="eastAsia" w:ascii="Times New Roman" w:hAnsi="Times New Roman" w:eastAsia="仿宋_GB2312"/>
                <w:szCs w:val="21"/>
                <w:highlight w:val="none"/>
              </w:rPr>
              <w:t>)</w:t>
            </w:r>
          </w:p>
          <w:p>
            <w:pPr>
              <w:rPr>
                <w:rFonts w:ascii="Times New Roman" w:hAnsi="Times New Roman"/>
                <w:sz w:val="24"/>
                <w:highlight w:val="none"/>
              </w:rPr>
            </w:pPr>
          </w:p>
          <w:p>
            <w:pPr>
              <w:rPr>
                <w:rFonts w:ascii="Times New Roman" w:hAnsi="Times New Roman"/>
                <w:sz w:val="24"/>
                <w:highlight w:val="none"/>
              </w:rPr>
            </w:pPr>
          </w:p>
          <w:p>
            <w:pPr>
              <w:rPr>
                <w:rFonts w:ascii="Times New Roman" w:hAnsi="Times New Roman"/>
                <w:sz w:val="24"/>
                <w:highlight w:val="none"/>
              </w:rPr>
            </w:pPr>
          </w:p>
          <w:p>
            <w:pP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承办院（部门）审批意见</w:t>
            </w:r>
          </w:p>
        </w:tc>
        <w:tc>
          <w:tcPr>
            <w:tcW w:w="6929" w:type="dxa"/>
            <w:gridSpan w:val="3"/>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 xml:space="preserve">       签名：</w:t>
            </w:r>
          </w:p>
          <w:p>
            <w:pPr>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750" w:type="dxa"/>
            <w:vAlign w:val="center"/>
          </w:tcPr>
          <w:p>
            <w:pPr>
              <w:jc w:val="center"/>
              <w:rPr>
                <w:rFonts w:ascii="Times New Roman" w:hAnsi="Times New Roman" w:eastAsia="仿宋_GB2312"/>
                <w:sz w:val="24"/>
                <w:szCs w:val="21"/>
                <w:highlight w:val="none"/>
              </w:rPr>
            </w:pPr>
            <w:r>
              <w:rPr>
                <w:rFonts w:hint="eastAsia" w:ascii="Times New Roman" w:hAnsi="Times New Roman" w:eastAsia="仿宋_GB2312"/>
                <w:sz w:val="24"/>
                <w:szCs w:val="21"/>
                <w:highlight w:val="none"/>
              </w:rPr>
              <w:t>竞赛工作领导小组审批意见</w:t>
            </w:r>
          </w:p>
        </w:tc>
        <w:tc>
          <w:tcPr>
            <w:tcW w:w="6929" w:type="dxa"/>
            <w:gridSpan w:val="3"/>
            <w:vAlign w:val="center"/>
          </w:tcPr>
          <w:p>
            <w:pPr>
              <w:jc w:val="center"/>
              <w:rPr>
                <w:rFonts w:ascii="仿宋" w:hAnsi="仿宋" w:eastAsia="仿宋" w:cs="仿宋"/>
                <w:szCs w:val="21"/>
                <w:highlight w:val="none"/>
              </w:rPr>
            </w:pPr>
          </w:p>
          <w:p>
            <w:pPr>
              <w:rPr>
                <w:rFonts w:ascii="仿宋" w:hAnsi="仿宋" w:eastAsia="仿宋" w:cs="仿宋"/>
                <w:sz w:val="24"/>
                <w:highlight w:val="none"/>
              </w:rPr>
            </w:pPr>
            <w:r>
              <w:rPr>
                <w:rFonts w:hint="eastAsia" w:ascii="仿宋" w:hAnsi="仿宋" w:eastAsia="仿宋" w:cs="仿宋"/>
                <w:sz w:val="24"/>
                <w:highlight w:val="none"/>
              </w:rPr>
              <w:t xml:space="preserve">                             签名：</w:t>
            </w:r>
          </w:p>
          <w:p>
            <w:pPr>
              <w:jc w:val="center"/>
              <w:rPr>
                <w:rFonts w:ascii="仿宋" w:hAnsi="仿宋" w:eastAsia="仿宋" w:cs="仿宋"/>
                <w:szCs w:val="21"/>
                <w:highlight w:val="none"/>
              </w:rPr>
            </w:pPr>
            <w:r>
              <w:rPr>
                <w:rFonts w:hint="eastAsia" w:ascii="仿宋" w:hAnsi="仿宋" w:eastAsia="仿宋" w:cs="仿宋"/>
                <w:sz w:val="24"/>
                <w:highlight w:val="none"/>
              </w:rPr>
              <w:t xml:space="preserve">                                   年   月   日</w:t>
            </w:r>
          </w:p>
        </w:tc>
      </w:tr>
    </w:tbl>
    <w:p>
      <w:pPr>
        <w:rPr>
          <w:rFonts w:ascii="仿宋_GB2312" w:hAnsi="仿宋_GB2312" w:eastAsia="仿宋_GB2312" w:cs="仿宋_GB2312"/>
          <w:kern w:val="0"/>
          <w:sz w:val="28"/>
          <w:szCs w:val="28"/>
          <w:highlight w:val="none"/>
          <w:lang w:bidi="ar"/>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kern w:val="0"/>
          <w:sz w:val="28"/>
          <w:szCs w:val="28"/>
          <w:highlight w:val="none"/>
          <w:lang w:bidi="ar"/>
        </w:rPr>
        <w:br w:type="page"/>
      </w:r>
    </w:p>
    <w:p>
      <w:pPr>
        <w:widowControl/>
        <w:rPr>
          <w:rFonts w:ascii="黑体" w:hAnsi="黑体" w:eastAsia="黑体" w:cs="黑体"/>
          <w:b/>
          <w:bCs/>
          <w:sz w:val="24"/>
          <w:highlight w:val="none"/>
        </w:rPr>
      </w:pPr>
      <w:r>
        <w:rPr>
          <w:rFonts w:hint="eastAsia" w:ascii="仿宋_GB2312" w:hAnsi="仿宋_GB2312" w:eastAsia="仿宋_GB2312" w:cs="仿宋_GB2312"/>
          <w:kern w:val="0"/>
          <w:sz w:val="24"/>
          <w:highlight w:val="none"/>
          <w:lang w:bidi="ar"/>
        </w:rPr>
        <w:t>附件</w:t>
      </w:r>
      <w:r>
        <w:rPr>
          <w:rFonts w:hint="eastAsia" w:ascii="仿宋_GB2312" w:hAnsi="仿宋_GB2312" w:eastAsia="仿宋_GB2312" w:cs="仿宋_GB2312"/>
          <w:kern w:val="0"/>
          <w:sz w:val="24"/>
          <w:highlight w:val="none"/>
          <w:lang w:val="en-US" w:eastAsia="zh-CN" w:bidi="ar"/>
        </w:rPr>
        <w:t>3</w:t>
      </w:r>
      <w:r>
        <w:rPr>
          <w:rFonts w:hint="eastAsia" w:ascii="仿宋_GB2312" w:hAnsi="仿宋_GB2312" w:eastAsia="仿宋_GB2312" w:cs="仿宋_GB2312"/>
          <w:kern w:val="0"/>
          <w:sz w:val="24"/>
          <w:highlight w:val="none"/>
          <w:lang w:bidi="ar"/>
        </w:rPr>
        <w:t>：</w:t>
      </w:r>
    </w:p>
    <w:p>
      <w:pPr>
        <w:pStyle w:val="10"/>
        <w:spacing w:after="80" w:line="240" w:lineRule="auto"/>
        <w:ind w:firstLine="0"/>
        <w:jc w:val="center"/>
        <w:rPr>
          <w:rFonts w:ascii="黑体" w:hAnsi="黑体" w:eastAsia="黑体" w:cs="黑体"/>
          <w:b/>
          <w:bCs/>
          <w:sz w:val="28"/>
          <w:szCs w:val="28"/>
          <w:highlight w:val="none"/>
        </w:rPr>
      </w:pPr>
      <w:r>
        <w:rPr>
          <w:rFonts w:hint="eastAsia" w:ascii="黑体" w:hAnsi="黑体" w:eastAsia="黑体" w:cs="黑体"/>
          <w:b/>
          <w:bCs/>
          <w:sz w:val="28"/>
          <w:szCs w:val="28"/>
          <w:highlight w:val="none"/>
        </w:rPr>
        <w:t>西安工商学院大学生</w:t>
      </w:r>
      <w:r>
        <w:rPr>
          <w:rFonts w:hint="eastAsia" w:ascii="黑体" w:hAnsi="黑体" w:eastAsia="黑体" w:cs="黑体"/>
          <w:b/>
          <w:bCs/>
          <w:sz w:val="28"/>
          <w:szCs w:val="28"/>
          <w:highlight w:val="none"/>
          <w:lang w:eastAsia="zh-CN"/>
        </w:rPr>
        <w:t>竞赛</w:t>
      </w:r>
      <w:r>
        <w:rPr>
          <w:rFonts w:hint="eastAsia" w:ascii="黑体" w:hAnsi="黑体" w:eastAsia="黑体" w:cs="黑体"/>
          <w:b/>
          <w:bCs/>
          <w:sz w:val="28"/>
          <w:szCs w:val="28"/>
          <w:highlight w:val="none"/>
        </w:rPr>
        <w:t>奖励标准一览表</w:t>
      </w:r>
    </w:p>
    <w:tbl>
      <w:tblPr>
        <w:tblStyle w:val="5"/>
        <w:tblW w:w="0" w:type="auto"/>
        <w:jc w:val="center"/>
        <w:tblLayout w:type="fixed"/>
        <w:tblCellMar>
          <w:top w:w="0" w:type="dxa"/>
          <w:left w:w="10" w:type="dxa"/>
          <w:bottom w:w="0" w:type="dxa"/>
          <w:right w:w="10" w:type="dxa"/>
        </w:tblCellMar>
      </w:tblPr>
      <w:tblGrid>
        <w:gridCol w:w="1090"/>
        <w:gridCol w:w="1239"/>
        <w:gridCol w:w="581"/>
        <w:gridCol w:w="1028"/>
        <w:gridCol w:w="1090"/>
        <w:gridCol w:w="1001"/>
        <w:gridCol w:w="605"/>
        <w:gridCol w:w="1135"/>
        <w:gridCol w:w="1105"/>
        <w:gridCol w:w="1077"/>
        <w:gridCol w:w="662"/>
        <w:gridCol w:w="609"/>
        <w:gridCol w:w="682"/>
        <w:gridCol w:w="694"/>
        <w:gridCol w:w="675"/>
        <w:gridCol w:w="685"/>
      </w:tblGrid>
      <w:tr>
        <w:tblPrEx>
          <w:tblCellMar>
            <w:top w:w="0" w:type="dxa"/>
            <w:left w:w="10" w:type="dxa"/>
            <w:bottom w:w="0" w:type="dxa"/>
            <w:right w:w="10" w:type="dxa"/>
          </w:tblCellMar>
        </w:tblPrEx>
        <w:trPr>
          <w:trHeight w:val="1105" w:hRule="atLeast"/>
          <w:jc w:val="center"/>
        </w:trPr>
        <w:tc>
          <w:tcPr>
            <w:tcW w:w="1090" w:type="dxa"/>
            <w:vMerge w:val="restart"/>
            <w:tcBorders>
              <w:top w:val="single" w:color="auto" w:sz="4" w:space="0"/>
              <w:left w:val="single" w:color="auto" w:sz="4" w:space="0"/>
            </w:tcBorders>
            <w:shd w:val="clear" w:color="auto" w:fill="auto"/>
            <w:vAlign w:val="center"/>
          </w:tcPr>
          <w:p>
            <w:pPr>
              <w:pStyle w:val="11"/>
              <w:snapToGrid w:val="0"/>
              <w:jc w:val="center"/>
              <w:rPr>
                <w:rFonts w:ascii="仿宋" w:hAnsi="仿宋" w:eastAsia="仿宋" w:cs="仿宋"/>
                <w:sz w:val="24"/>
                <w:szCs w:val="24"/>
                <w:highlight w:val="none"/>
              </w:rPr>
            </w:pPr>
          </w:p>
          <w:p>
            <w:pPr>
              <w:pStyle w:val="11"/>
              <w:snapToGrid w:val="0"/>
              <w:jc w:val="center"/>
              <w:rPr>
                <w:rFonts w:ascii="仿宋" w:hAnsi="仿宋" w:eastAsia="仿宋" w:cs="仿宋"/>
                <w:sz w:val="24"/>
                <w:szCs w:val="24"/>
                <w:highlight w:val="none"/>
              </w:rPr>
            </w:pPr>
          </w:p>
          <w:p>
            <w:pPr>
              <w:pStyle w:val="11"/>
              <w:snapToGrid w:val="0"/>
              <w:jc w:val="center"/>
              <w:rPr>
                <w:rFonts w:ascii="仿宋" w:hAnsi="仿宋" w:eastAsia="仿宋" w:cs="仿宋"/>
                <w:sz w:val="24"/>
                <w:szCs w:val="24"/>
                <w:highlight w:val="none"/>
              </w:rPr>
            </w:pPr>
          </w:p>
          <w:p>
            <w:pPr>
              <w:pStyle w:val="11"/>
              <w:snapToGrid w:val="0"/>
              <w:jc w:val="center"/>
              <w:rPr>
                <w:rFonts w:ascii="仿宋" w:hAnsi="仿宋" w:eastAsia="仿宋" w:cs="仿宋"/>
                <w:sz w:val="24"/>
                <w:szCs w:val="24"/>
                <w:highlight w:val="none"/>
              </w:rPr>
            </w:pPr>
          </w:p>
          <w:p>
            <w:pPr>
              <w:pStyle w:val="11"/>
              <w:snapToGrid w:val="0"/>
              <w:jc w:val="center"/>
              <w:rPr>
                <w:rFonts w:ascii="仿宋" w:hAnsi="仿宋" w:eastAsia="仿宋" w:cs="仿宋"/>
                <w:sz w:val="24"/>
                <w:szCs w:val="24"/>
                <w:highlight w:val="none"/>
              </w:rPr>
            </w:pPr>
          </w:p>
          <w:p>
            <w:pPr>
              <w:pStyle w:val="11"/>
              <w:snapToGrid w:val="0"/>
              <w:rPr>
                <w:rFonts w:ascii="仿宋" w:hAnsi="仿宋" w:eastAsia="仿宋" w:cs="仿宋"/>
                <w:sz w:val="24"/>
                <w:szCs w:val="24"/>
                <w:highlight w:val="none"/>
                <w:lang w:val="en-US" w:eastAsia="zh-CN"/>
              </w:rPr>
            </w:pPr>
          </w:p>
          <w:p>
            <w:pPr>
              <w:pStyle w:val="11"/>
              <w:snapToGrid w:val="0"/>
              <w:ind w:firstLine="240" w:firstLineChars="100"/>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主体</w:t>
            </w:r>
          </w:p>
          <w:p>
            <w:pPr>
              <w:pStyle w:val="11"/>
              <w:spacing w:line="360" w:lineRule="auto"/>
              <w:jc w:val="center"/>
              <w:rPr>
                <w:rFonts w:ascii="仿宋" w:hAnsi="仿宋" w:eastAsia="仿宋" w:cs="仿宋"/>
                <w:sz w:val="24"/>
                <w:szCs w:val="24"/>
                <w:highlight w:val="none"/>
                <w:lang w:val="en-US" w:eastAsia="zh-CN"/>
              </w:rPr>
            </w:pPr>
          </w:p>
          <w:p>
            <w:pPr>
              <w:pStyle w:val="11"/>
              <w:spacing w:line="360" w:lineRule="auto"/>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类别</w:t>
            </w:r>
          </w:p>
        </w:tc>
        <w:tc>
          <w:tcPr>
            <w:tcW w:w="1239" w:type="dxa"/>
            <w:tcBorders>
              <w:top w:val="single" w:color="auto" w:sz="4" w:space="0"/>
              <w:left w:val="single" w:color="auto" w:sz="4" w:space="0"/>
            </w:tcBorders>
            <w:shd w:val="clear" w:color="auto" w:fill="auto"/>
            <w:vAlign w:val="center"/>
          </w:tcPr>
          <w:p>
            <w:pPr>
              <w:pStyle w:val="11"/>
              <w:spacing w:line="281" w:lineRule="exact"/>
              <w:ind w:left="140"/>
              <w:jc w:val="center"/>
              <w:rPr>
                <w:rFonts w:ascii="仿宋" w:hAnsi="仿宋" w:eastAsia="仿宋" w:cs="仿宋"/>
                <w:sz w:val="24"/>
                <w:szCs w:val="24"/>
                <w:highlight w:val="none"/>
              </w:rPr>
            </w:pPr>
            <w:r>
              <w:rPr>
                <w:rFonts w:hint="eastAsia" w:ascii="仿宋" w:hAnsi="仿宋" w:eastAsia="仿宋" w:cs="仿宋"/>
                <w:sz w:val="24"/>
                <w:szCs w:val="24"/>
                <w:highlight w:val="none"/>
              </w:rPr>
              <w:t>奖励范围</w:t>
            </w:r>
          </w:p>
        </w:tc>
        <w:tc>
          <w:tcPr>
            <w:tcW w:w="3700" w:type="dxa"/>
            <w:gridSpan w:val="4"/>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国家级</w:t>
            </w:r>
            <w:r>
              <w:rPr>
                <w:rFonts w:hint="eastAsia" w:ascii="仿宋" w:hAnsi="仿宋" w:eastAsia="仿宋" w:cs="仿宋"/>
                <w:sz w:val="24"/>
                <w:szCs w:val="24"/>
                <w:highlight w:val="none"/>
              </w:rPr>
              <w:t>I</w:t>
            </w:r>
            <w:r>
              <w:rPr>
                <w:rFonts w:hint="eastAsia" w:ascii="仿宋" w:hAnsi="仿宋" w:eastAsia="仿宋" w:cs="仿宋"/>
                <w:sz w:val="24"/>
                <w:szCs w:val="24"/>
                <w:highlight w:val="none"/>
                <w:lang w:val="en-US" w:eastAsia="zh-CN"/>
              </w:rPr>
              <w:t>类</w:t>
            </w:r>
          </w:p>
        </w:tc>
        <w:tc>
          <w:tcPr>
            <w:tcW w:w="3922" w:type="dxa"/>
            <w:gridSpan w:val="4"/>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国家级</w:t>
            </w:r>
            <w:r>
              <w:rPr>
                <w:rFonts w:hint="eastAsia" w:ascii="仿宋" w:hAnsi="仿宋" w:eastAsia="仿宋" w:cs="仿宋"/>
                <w:sz w:val="24"/>
                <w:szCs w:val="24"/>
                <w:highlight w:val="none"/>
              </w:rPr>
              <w:t>II</w:t>
            </w:r>
            <w:r>
              <w:rPr>
                <w:rFonts w:hint="eastAsia" w:ascii="仿宋" w:hAnsi="仿宋" w:eastAsia="仿宋" w:cs="仿宋"/>
                <w:sz w:val="24"/>
                <w:szCs w:val="24"/>
                <w:highlight w:val="none"/>
                <w:lang w:val="en-US" w:eastAsia="zh-CN"/>
              </w:rPr>
              <w:t>类</w:t>
            </w:r>
          </w:p>
        </w:tc>
        <w:tc>
          <w:tcPr>
            <w:tcW w:w="1953" w:type="dxa"/>
            <w:gridSpan w:val="3"/>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rPr>
              <w:t>省级II</w:t>
            </w:r>
            <w:r>
              <w:rPr>
                <w:rFonts w:hint="eastAsia" w:ascii="仿宋" w:hAnsi="仿宋" w:eastAsia="仿宋" w:cs="仿宋"/>
                <w:sz w:val="24"/>
                <w:szCs w:val="24"/>
                <w:highlight w:val="none"/>
                <w:lang w:val="en-US" w:eastAsia="zh-CN"/>
              </w:rPr>
              <w:t>类</w:t>
            </w:r>
          </w:p>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国家级</w:t>
            </w:r>
            <w:r>
              <w:rPr>
                <w:rFonts w:hint="eastAsia" w:ascii="仿宋" w:hAnsi="仿宋" w:eastAsia="仿宋" w:cs="仿宋"/>
                <w:sz w:val="24"/>
                <w:szCs w:val="24"/>
                <w:highlight w:val="none"/>
              </w:rPr>
              <w:t>Ⅲ</w:t>
            </w:r>
            <w:r>
              <w:rPr>
                <w:rFonts w:hint="eastAsia" w:ascii="仿宋" w:hAnsi="仿宋" w:eastAsia="仿宋" w:cs="仿宋"/>
                <w:sz w:val="24"/>
                <w:szCs w:val="24"/>
                <w:highlight w:val="none"/>
                <w:lang w:val="en-US" w:eastAsia="zh-CN"/>
              </w:rPr>
              <w:t>类</w:t>
            </w:r>
          </w:p>
        </w:tc>
        <w:tc>
          <w:tcPr>
            <w:tcW w:w="2054" w:type="dxa"/>
            <w:gridSpan w:val="3"/>
            <w:tcBorders>
              <w:top w:val="single" w:color="auto" w:sz="4" w:space="0"/>
              <w:left w:val="single" w:color="auto" w:sz="4" w:space="0"/>
              <w:right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rPr>
              <w:t>省级Ⅲ</w:t>
            </w:r>
            <w:r>
              <w:rPr>
                <w:rFonts w:hint="eastAsia" w:ascii="仿宋" w:hAnsi="仿宋" w:eastAsia="仿宋" w:cs="仿宋"/>
                <w:sz w:val="24"/>
                <w:szCs w:val="24"/>
                <w:highlight w:val="none"/>
                <w:lang w:val="en-US" w:eastAsia="zh-CN"/>
              </w:rPr>
              <w:t>类</w:t>
            </w:r>
          </w:p>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校级</w:t>
            </w:r>
            <w:r>
              <w:rPr>
                <w:rFonts w:hint="eastAsia" w:ascii="仿宋" w:hAnsi="仿宋" w:eastAsia="仿宋" w:cs="仿宋"/>
                <w:sz w:val="24"/>
                <w:szCs w:val="24"/>
                <w:highlight w:val="none"/>
              </w:rPr>
              <w:t>竞赛I</w:t>
            </w:r>
            <w:r>
              <w:rPr>
                <w:rFonts w:hint="eastAsia" w:ascii="仿宋" w:hAnsi="仿宋" w:eastAsia="仿宋" w:cs="仿宋"/>
                <w:sz w:val="24"/>
                <w:szCs w:val="24"/>
                <w:highlight w:val="none"/>
                <w:lang w:val="en-US" w:eastAsia="zh-CN"/>
              </w:rPr>
              <w:t>类</w:t>
            </w:r>
          </w:p>
        </w:tc>
      </w:tr>
      <w:tr>
        <w:tblPrEx>
          <w:tblCellMar>
            <w:top w:w="0" w:type="dxa"/>
            <w:left w:w="10" w:type="dxa"/>
            <w:bottom w:w="0" w:type="dxa"/>
            <w:right w:w="10" w:type="dxa"/>
          </w:tblCellMar>
        </w:tblPrEx>
        <w:trPr>
          <w:trHeight w:val="1201" w:hRule="exact"/>
          <w:jc w:val="center"/>
        </w:trPr>
        <w:tc>
          <w:tcPr>
            <w:tcW w:w="1090" w:type="dxa"/>
            <w:vMerge w:val="continue"/>
            <w:tcBorders>
              <w:left w:val="single" w:color="auto" w:sz="4" w:space="0"/>
            </w:tcBorders>
            <w:shd w:val="clear" w:color="auto" w:fill="auto"/>
            <w:vAlign w:val="center"/>
          </w:tcPr>
          <w:p>
            <w:pPr>
              <w:jc w:val="center"/>
              <w:rPr>
                <w:rFonts w:ascii="仿宋" w:hAnsi="仿宋" w:eastAsia="仿宋" w:cs="仿宋"/>
                <w:sz w:val="24"/>
                <w:highlight w:val="none"/>
              </w:rPr>
            </w:pPr>
          </w:p>
        </w:tc>
        <w:tc>
          <w:tcPr>
            <w:tcW w:w="1239" w:type="dxa"/>
            <w:tcBorders>
              <w:top w:val="single" w:color="auto" w:sz="4" w:space="0"/>
              <w:left w:val="single" w:color="auto" w:sz="4" w:space="0"/>
            </w:tcBorders>
            <w:shd w:val="clear" w:color="auto" w:fill="auto"/>
            <w:vAlign w:val="center"/>
          </w:tcPr>
          <w:p>
            <w:pPr>
              <w:pStyle w:val="11"/>
              <w:spacing w:line="288" w:lineRule="exact"/>
              <w:ind w:left="140"/>
              <w:jc w:val="center"/>
              <w:rPr>
                <w:rFonts w:ascii="仿宋" w:hAnsi="仿宋" w:eastAsia="仿宋" w:cs="仿宋"/>
                <w:sz w:val="24"/>
                <w:szCs w:val="24"/>
                <w:highlight w:val="none"/>
              </w:rPr>
            </w:pPr>
            <w:r>
              <w:rPr>
                <w:rFonts w:hint="eastAsia" w:ascii="仿宋" w:hAnsi="仿宋" w:eastAsia="仿宋" w:cs="仿宋"/>
                <w:sz w:val="24"/>
                <w:szCs w:val="24"/>
                <w:highlight w:val="none"/>
              </w:rPr>
              <w:t>奖励等级</w:t>
            </w:r>
          </w:p>
        </w:tc>
        <w:tc>
          <w:tcPr>
            <w:tcW w:w="581" w:type="dxa"/>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国家一等</w:t>
            </w:r>
          </w:p>
        </w:tc>
        <w:tc>
          <w:tcPr>
            <w:tcW w:w="1028" w:type="dxa"/>
            <w:tcBorders>
              <w:top w:val="single" w:color="auto" w:sz="4" w:space="0"/>
              <w:left w:val="single" w:color="auto" w:sz="4" w:space="0"/>
            </w:tcBorders>
            <w:shd w:val="clear" w:color="auto" w:fill="auto"/>
            <w:vAlign w:val="center"/>
          </w:tcPr>
          <w:p>
            <w:pPr>
              <w:pStyle w:val="11"/>
              <w:spacing w:after="60"/>
              <w:jc w:val="center"/>
              <w:rPr>
                <w:rFonts w:ascii="仿宋" w:hAnsi="仿宋" w:eastAsia="仿宋" w:cs="仿宋"/>
                <w:sz w:val="24"/>
                <w:szCs w:val="24"/>
                <w:highlight w:val="none"/>
              </w:rPr>
            </w:pPr>
            <w:r>
              <w:rPr>
                <w:rFonts w:hint="eastAsia" w:ascii="仿宋" w:hAnsi="仿宋" w:eastAsia="仿宋" w:cs="仿宋"/>
                <w:sz w:val="24"/>
                <w:szCs w:val="24"/>
                <w:highlight w:val="none"/>
              </w:rPr>
              <w:t>国家二等/省一等</w:t>
            </w:r>
          </w:p>
        </w:tc>
        <w:tc>
          <w:tcPr>
            <w:tcW w:w="1090" w:type="dxa"/>
            <w:tcBorders>
              <w:top w:val="single" w:color="auto" w:sz="4" w:space="0"/>
              <w:left w:val="single" w:color="auto" w:sz="4" w:space="0"/>
            </w:tcBorders>
            <w:shd w:val="clear" w:color="auto" w:fill="auto"/>
            <w:vAlign w:val="center"/>
          </w:tcPr>
          <w:p>
            <w:pPr>
              <w:pStyle w:val="11"/>
              <w:spacing w:line="288"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国家三等 /省二等</w:t>
            </w:r>
          </w:p>
        </w:tc>
        <w:tc>
          <w:tcPr>
            <w:tcW w:w="1001" w:type="dxa"/>
            <w:tcBorders>
              <w:top w:val="single" w:color="auto" w:sz="4" w:space="0"/>
              <w:left w:val="single" w:color="auto" w:sz="4" w:space="0"/>
            </w:tcBorders>
            <w:shd w:val="clear" w:color="auto" w:fill="auto"/>
            <w:vAlign w:val="center"/>
          </w:tcPr>
          <w:p>
            <w:pPr>
              <w:pStyle w:val="11"/>
              <w:spacing w:line="288"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国家</w:t>
            </w:r>
            <w:r>
              <w:rPr>
                <w:rFonts w:hint="eastAsia" w:ascii="仿宋" w:hAnsi="仿宋" w:eastAsia="仿宋" w:cs="仿宋"/>
                <w:sz w:val="24"/>
                <w:szCs w:val="24"/>
                <w:highlight w:val="none"/>
                <w:lang w:val="en-US" w:eastAsia="zh-CN"/>
              </w:rPr>
              <w:t>优秀</w:t>
            </w:r>
            <w:r>
              <w:rPr>
                <w:rFonts w:hint="eastAsia" w:ascii="仿宋" w:hAnsi="仿宋" w:eastAsia="仿宋" w:cs="仿宋"/>
                <w:sz w:val="24"/>
                <w:szCs w:val="24"/>
                <w:highlight w:val="none"/>
              </w:rPr>
              <w:t>/省三等</w:t>
            </w:r>
          </w:p>
        </w:tc>
        <w:tc>
          <w:tcPr>
            <w:tcW w:w="605" w:type="dxa"/>
            <w:tcBorders>
              <w:top w:val="single" w:color="auto" w:sz="4" w:space="0"/>
              <w:left w:val="single" w:color="auto" w:sz="4" w:space="0"/>
            </w:tcBorders>
            <w:shd w:val="clear" w:color="auto" w:fill="auto"/>
            <w:vAlign w:val="center"/>
          </w:tcPr>
          <w:p>
            <w:pPr>
              <w:pStyle w:val="11"/>
              <w:spacing w:line="295" w:lineRule="exact"/>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国家一等</w:t>
            </w:r>
          </w:p>
        </w:tc>
        <w:tc>
          <w:tcPr>
            <w:tcW w:w="1135" w:type="dxa"/>
            <w:tcBorders>
              <w:top w:val="single" w:color="auto" w:sz="4" w:space="0"/>
              <w:left w:val="single" w:color="auto" w:sz="4" w:space="0"/>
            </w:tcBorders>
            <w:shd w:val="clear" w:color="auto" w:fill="auto"/>
            <w:vAlign w:val="center"/>
          </w:tcPr>
          <w:p>
            <w:pPr>
              <w:pStyle w:val="11"/>
              <w:spacing w:line="288"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国家二等 /省一等</w:t>
            </w:r>
          </w:p>
        </w:tc>
        <w:tc>
          <w:tcPr>
            <w:tcW w:w="1105" w:type="dxa"/>
            <w:tcBorders>
              <w:top w:val="single" w:color="auto" w:sz="4" w:space="0"/>
              <w:left w:val="single" w:color="auto" w:sz="4" w:space="0"/>
            </w:tcBorders>
            <w:shd w:val="clear" w:color="auto" w:fill="auto"/>
            <w:vAlign w:val="center"/>
          </w:tcPr>
          <w:p>
            <w:pPr>
              <w:pStyle w:val="11"/>
              <w:spacing w:line="288"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国家三等 /省二等</w:t>
            </w:r>
          </w:p>
        </w:tc>
        <w:tc>
          <w:tcPr>
            <w:tcW w:w="1077" w:type="dxa"/>
            <w:tcBorders>
              <w:top w:val="single" w:color="auto" w:sz="4" w:space="0"/>
              <w:left w:val="single" w:color="auto" w:sz="4" w:space="0"/>
            </w:tcBorders>
            <w:shd w:val="clear" w:color="auto" w:fill="auto"/>
            <w:vAlign w:val="center"/>
          </w:tcPr>
          <w:p>
            <w:pPr>
              <w:pStyle w:val="11"/>
              <w:spacing w:line="295"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国家</w:t>
            </w:r>
            <w:r>
              <w:rPr>
                <w:rFonts w:hint="eastAsia" w:ascii="仿宋" w:hAnsi="仿宋" w:eastAsia="仿宋" w:cs="仿宋"/>
                <w:sz w:val="24"/>
                <w:szCs w:val="24"/>
                <w:highlight w:val="none"/>
                <w:lang w:val="en-US" w:eastAsia="zh-CN"/>
              </w:rPr>
              <w:t>优秀</w:t>
            </w:r>
            <w:r>
              <w:rPr>
                <w:rFonts w:hint="eastAsia" w:ascii="仿宋" w:hAnsi="仿宋" w:eastAsia="仿宋" w:cs="仿宋"/>
                <w:sz w:val="24"/>
                <w:szCs w:val="24"/>
                <w:highlight w:val="none"/>
              </w:rPr>
              <w:t>/省三等</w:t>
            </w:r>
          </w:p>
        </w:tc>
        <w:tc>
          <w:tcPr>
            <w:tcW w:w="662" w:type="dxa"/>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一等</w:t>
            </w:r>
          </w:p>
        </w:tc>
        <w:tc>
          <w:tcPr>
            <w:tcW w:w="609" w:type="dxa"/>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二等</w:t>
            </w:r>
          </w:p>
        </w:tc>
        <w:tc>
          <w:tcPr>
            <w:tcW w:w="682" w:type="dxa"/>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三等</w:t>
            </w:r>
          </w:p>
        </w:tc>
        <w:tc>
          <w:tcPr>
            <w:tcW w:w="694" w:type="dxa"/>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lang w:val="zh-CN" w:eastAsia="zh-CN" w:bidi="zh-CN"/>
              </w:rPr>
              <w:t>一等</w:t>
            </w:r>
          </w:p>
        </w:tc>
        <w:tc>
          <w:tcPr>
            <w:tcW w:w="675" w:type="dxa"/>
            <w:tcBorders>
              <w:top w:val="single" w:color="auto" w:sz="4" w:space="0"/>
              <w:left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二等</w:t>
            </w:r>
          </w:p>
        </w:tc>
        <w:tc>
          <w:tcPr>
            <w:tcW w:w="685" w:type="dxa"/>
            <w:tcBorders>
              <w:top w:val="single" w:color="auto" w:sz="4" w:space="0"/>
              <w:left w:val="single" w:color="auto" w:sz="4" w:space="0"/>
              <w:right w:val="single" w:color="auto" w:sz="4" w:space="0"/>
            </w:tcBorders>
            <w:shd w:val="clear" w:color="auto" w:fill="auto"/>
            <w:vAlign w:val="center"/>
          </w:tcPr>
          <w:p>
            <w:pPr>
              <w:pStyle w:val="11"/>
              <w:ind w:right="140"/>
              <w:jc w:val="center"/>
              <w:rPr>
                <w:rFonts w:ascii="仿宋" w:hAnsi="仿宋" w:eastAsia="仿宋" w:cs="仿宋"/>
                <w:sz w:val="24"/>
                <w:szCs w:val="24"/>
                <w:highlight w:val="none"/>
              </w:rPr>
            </w:pPr>
            <w:r>
              <w:rPr>
                <w:rFonts w:hint="eastAsia" w:ascii="仿宋" w:hAnsi="仿宋" w:eastAsia="仿宋" w:cs="仿宋"/>
                <w:sz w:val="24"/>
                <w:szCs w:val="24"/>
                <w:highlight w:val="none"/>
              </w:rPr>
              <w:t>三等</w:t>
            </w:r>
          </w:p>
        </w:tc>
      </w:tr>
      <w:tr>
        <w:tblPrEx>
          <w:tblCellMar>
            <w:top w:w="0" w:type="dxa"/>
            <w:left w:w="10" w:type="dxa"/>
            <w:bottom w:w="0" w:type="dxa"/>
            <w:right w:w="10" w:type="dxa"/>
          </w:tblCellMar>
        </w:tblPrEx>
        <w:trPr>
          <w:trHeight w:val="588" w:hRule="exact"/>
          <w:jc w:val="center"/>
        </w:trPr>
        <w:tc>
          <w:tcPr>
            <w:tcW w:w="1090" w:type="dxa"/>
            <w:tcBorders>
              <w:top w:val="single" w:color="auto" w:sz="4" w:space="0"/>
              <w:left w:val="single" w:color="auto" w:sz="4" w:space="0"/>
              <w:bottom w:val="single" w:color="auto" w:sz="4" w:space="0"/>
            </w:tcBorders>
            <w:shd w:val="clear" w:color="auto" w:fill="auto"/>
            <w:vAlign w:val="center"/>
          </w:tcPr>
          <w:p>
            <w:pPr>
              <w:pStyle w:val="11"/>
              <w:spacing w:line="295"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指导教师</w:t>
            </w:r>
          </w:p>
        </w:tc>
        <w:tc>
          <w:tcPr>
            <w:tcW w:w="1239"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奖金</w:t>
            </w:r>
          </w:p>
        </w:tc>
        <w:tc>
          <w:tcPr>
            <w:tcW w:w="581"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2000</w:t>
            </w:r>
          </w:p>
        </w:tc>
        <w:tc>
          <w:tcPr>
            <w:tcW w:w="1028"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1600</w:t>
            </w:r>
          </w:p>
        </w:tc>
        <w:tc>
          <w:tcPr>
            <w:tcW w:w="1090"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1400</w:t>
            </w:r>
          </w:p>
        </w:tc>
        <w:tc>
          <w:tcPr>
            <w:tcW w:w="1001"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1200</w:t>
            </w:r>
          </w:p>
        </w:tc>
        <w:tc>
          <w:tcPr>
            <w:tcW w:w="605"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1200</w:t>
            </w:r>
          </w:p>
        </w:tc>
        <w:tc>
          <w:tcPr>
            <w:tcW w:w="1135"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1000</w:t>
            </w:r>
          </w:p>
        </w:tc>
        <w:tc>
          <w:tcPr>
            <w:tcW w:w="1105"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900</w:t>
            </w:r>
          </w:p>
        </w:tc>
        <w:tc>
          <w:tcPr>
            <w:tcW w:w="1077"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800</w:t>
            </w:r>
          </w:p>
        </w:tc>
        <w:tc>
          <w:tcPr>
            <w:tcW w:w="662"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800</w:t>
            </w:r>
          </w:p>
        </w:tc>
        <w:tc>
          <w:tcPr>
            <w:tcW w:w="609"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500</w:t>
            </w:r>
          </w:p>
        </w:tc>
        <w:tc>
          <w:tcPr>
            <w:tcW w:w="682"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300</w:t>
            </w:r>
          </w:p>
        </w:tc>
        <w:tc>
          <w:tcPr>
            <w:tcW w:w="20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无</w:t>
            </w:r>
          </w:p>
        </w:tc>
      </w:tr>
      <w:tr>
        <w:tblPrEx>
          <w:tblCellMar>
            <w:top w:w="0" w:type="dxa"/>
            <w:left w:w="10" w:type="dxa"/>
            <w:bottom w:w="0" w:type="dxa"/>
            <w:right w:w="10" w:type="dxa"/>
          </w:tblCellMar>
        </w:tblPrEx>
        <w:trPr>
          <w:trHeight w:val="588" w:hRule="exact"/>
          <w:jc w:val="center"/>
        </w:trPr>
        <w:tc>
          <w:tcPr>
            <w:tcW w:w="1090" w:type="dxa"/>
            <w:vMerge w:val="restart"/>
            <w:tcBorders>
              <w:top w:val="single" w:color="auto" w:sz="4" w:space="0"/>
              <w:left w:val="single" w:color="auto" w:sz="4" w:space="0"/>
            </w:tcBorders>
            <w:shd w:val="clear" w:color="auto" w:fill="auto"/>
            <w:vAlign w:val="center"/>
          </w:tcPr>
          <w:p>
            <w:pPr>
              <w:pStyle w:val="11"/>
              <w:spacing w:line="295" w:lineRule="exact"/>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学生</w:t>
            </w:r>
          </w:p>
        </w:tc>
        <w:tc>
          <w:tcPr>
            <w:tcW w:w="1239"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奖金</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2000</w:t>
            </w:r>
          </w:p>
        </w:tc>
        <w:tc>
          <w:tcPr>
            <w:tcW w:w="1028"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1600</w:t>
            </w:r>
          </w:p>
        </w:tc>
        <w:tc>
          <w:tcPr>
            <w:tcW w:w="1090"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1400</w:t>
            </w:r>
          </w:p>
        </w:tc>
        <w:tc>
          <w:tcPr>
            <w:tcW w:w="1001"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1200</w:t>
            </w:r>
          </w:p>
        </w:tc>
        <w:tc>
          <w:tcPr>
            <w:tcW w:w="605"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1200</w:t>
            </w:r>
          </w:p>
        </w:tc>
        <w:tc>
          <w:tcPr>
            <w:tcW w:w="1135"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1000</w:t>
            </w:r>
          </w:p>
        </w:tc>
        <w:tc>
          <w:tcPr>
            <w:tcW w:w="1105"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900</w:t>
            </w:r>
          </w:p>
        </w:tc>
        <w:tc>
          <w:tcPr>
            <w:tcW w:w="1077"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800</w:t>
            </w:r>
          </w:p>
        </w:tc>
        <w:tc>
          <w:tcPr>
            <w:tcW w:w="662"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800</w:t>
            </w:r>
          </w:p>
        </w:tc>
        <w:tc>
          <w:tcPr>
            <w:tcW w:w="609"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600</w:t>
            </w:r>
          </w:p>
        </w:tc>
        <w:tc>
          <w:tcPr>
            <w:tcW w:w="682"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w:t>
            </w:r>
          </w:p>
        </w:tc>
        <w:tc>
          <w:tcPr>
            <w:tcW w:w="6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jc w:val="center"/>
              <w:rPr>
                <w:rFonts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200</w:t>
            </w:r>
          </w:p>
        </w:tc>
      </w:tr>
      <w:tr>
        <w:tblPrEx>
          <w:tblCellMar>
            <w:top w:w="0" w:type="dxa"/>
            <w:left w:w="10" w:type="dxa"/>
            <w:bottom w:w="0" w:type="dxa"/>
            <w:right w:w="10" w:type="dxa"/>
          </w:tblCellMar>
        </w:tblPrEx>
        <w:trPr>
          <w:trHeight w:val="924" w:hRule="exact"/>
          <w:jc w:val="center"/>
        </w:trPr>
        <w:tc>
          <w:tcPr>
            <w:tcW w:w="1090" w:type="dxa"/>
            <w:vMerge w:val="continue"/>
            <w:tcBorders>
              <w:left w:val="single" w:color="auto" w:sz="4" w:space="0"/>
              <w:bottom w:val="single" w:color="auto" w:sz="4" w:space="0"/>
            </w:tcBorders>
            <w:shd w:val="clear" w:color="auto" w:fill="auto"/>
            <w:vAlign w:val="center"/>
          </w:tcPr>
          <w:p>
            <w:pPr>
              <w:pStyle w:val="11"/>
              <w:spacing w:line="295" w:lineRule="exact"/>
              <w:jc w:val="center"/>
              <w:rPr>
                <w:rFonts w:ascii="仿宋" w:hAnsi="仿宋" w:eastAsia="仿宋" w:cs="仿宋"/>
                <w:sz w:val="24"/>
                <w:szCs w:val="24"/>
                <w:highlight w:val="none"/>
                <w:lang w:val="en-US" w:eastAsia="zh-CN"/>
              </w:rPr>
            </w:pPr>
          </w:p>
        </w:tc>
        <w:tc>
          <w:tcPr>
            <w:tcW w:w="1239" w:type="dxa"/>
            <w:tcBorders>
              <w:top w:val="single" w:color="auto" w:sz="4" w:space="0"/>
              <w:left w:val="single" w:color="auto" w:sz="4" w:space="0"/>
              <w:bottom w:val="single" w:color="auto" w:sz="4" w:space="0"/>
            </w:tcBorders>
            <w:shd w:val="clear" w:color="auto" w:fill="auto"/>
            <w:vAlign w:val="center"/>
          </w:tcPr>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实践创新</w:t>
            </w:r>
          </w:p>
          <w:p>
            <w:pPr>
              <w:pStyle w:val="11"/>
              <w:jc w:val="center"/>
              <w:rPr>
                <w:rFonts w:ascii="仿宋" w:hAnsi="仿宋" w:eastAsia="仿宋" w:cs="仿宋"/>
                <w:sz w:val="24"/>
                <w:szCs w:val="24"/>
                <w:highlight w:val="none"/>
              </w:rPr>
            </w:pPr>
            <w:r>
              <w:rPr>
                <w:rFonts w:hint="eastAsia" w:ascii="仿宋" w:hAnsi="仿宋" w:eastAsia="仿宋" w:cs="仿宋"/>
                <w:sz w:val="24"/>
                <w:szCs w:val="24"/>
                <w:highlight w:val="none"/>
              </w:rPr>
              <w:t>学分</w:t>
            </w:r>
          </w:p>
        </w:tc>
        <w:tc>
          <w:tcPr>
            <w:tcW w:w="1162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pStyle w:val="11"/>
              <w:jc w:val="center"/>
              <w:rPr>
                <w:rFonts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以院教[2018] 68号文件《西安工业大学北方信息工程学院第二课堂学分置换办法》执行</w:t>
            </w:r>
          </w:p>
        </w:tc>
      </w:tr>
    </w:tbl>
    <w:p>
      <w:pPr>
        <w:pStyle w:val="10"/>
        <w:spacing w:after="0" w:line="360" w:lineRule="exact"/>
        <w:ind w:firstLine="520"/>
        <w:jc w:val="left"/>
        <w:rPr>
          <w:rFonts w:ascii="仿宋" w:hAnsi="仿宋" w:eastAsia="仿宋" w:cs="仿宋"/>
          <w:sz w:val="24"/>
          <w:szCs w:val="24"/>
          <w:highlight w:val="none"/>
        </w:rPr>
      </w:pPr>
      <w:r>
        <w:rPr>
          <w:rFonts w:hint="eastAsia" w:ascii="仿宋" w:hAnsi="仿宋" w:eastAsia="仿宋" w:cs="仿宋"/>
          <w:sz w:val="24"/>
          <w:szCs w:val="24"/>
          <w:highlight w:val="none"/>
        </w:rPr>
        <w:t>说明：</w:t>
      </w:r>
    </w:p>
    <w:p>
      <w:pPr>
        <w:pStyle w:val="10"/>
        <w:numPr>
          <w:ilvl w:val="0"/>
          <w:numId w:val="4"/>
        </w:numPr>
        <w:tabs>
          <w:tab w:val="left" w:pos="1515"/>
        </w:tabs>
        <w:spacing w:after="0" w:line="360" w:lineRule="exact"/>
        <w:ind w:left="520" w:firstLine="600"/>
        <w:jc w:val="left"/>
        <w:rPr>
          <w:rFonts w:ascii="仿宋" w:hAnsi="仿宋" w:eastAsia="仿宋" w:cs="仿宋"/>
          <w:sz w:val="24"/>
          <w:szCs w:val="24"/>
          <w:highlight w:val="none"/>
        </w:rPr>
      </w:pPr>
      <w:bookmarkStart w:id="0" w:name="bookmark18"/>
      <w:bookmarkEnd w:id="0"/>
      <w:r>
        <w:rPr>
          <w:rFonts w:hint="eastAsia" w:ascii="仿宋" w:hAnsi="仿宋" w:eastAsia="仿宋" w:cs="仿宋"/>
          <w:sz w:val="24"/>
          <w:szCs w:val="24"/>
          <w:highlight w:val="none"/>
        </w:rPr>
        <w:t>比赛如果同时设团体奖和个人奖，团体奖在上表奖励标准基础上翻倍计算；</w:t>
      </w:r>
      <w:r>
        <w:rPr>
          <w:rFonts w:hint="eastAsia" w:ascii="仿宋" w:hAnsi="仿宋" w:eastAsia="仿宋" w:cs="仿宋"/>
          <w:sz w:val="24"/>
          <w:szCs w:val="24"/>
          <w:highlight w:val="none"/>
          <w:lang w:eastAsia="zh-CN"/>
        </w:rPr>
        <w:t>学校</w:t>
      </w:r>
      <w:r>
        <w:rPr>
          <w:rFonts w:hint="eastAsia" w:ascii="仿宋" w:hAnsi="仿宋" w:eastAsia="仿宋" w:cs="仿宋"/>
          <w:sz w:val="24"/>
          <w:szCs w:val="24"/>
          <w:highlight w:val="none"/>
        </w:rPr>
        <w:t>可根据具体情况，颁发团体（辅导）奖或个人（辅导）奖，但同一获奖者不能同时获得两个奖项。</w:t>
      </w:r>
    </w:p>
    <w:p>
      <w:pPr>
        <w:pStyle w:val="10"/>
        <w:numPr>
          <w:ilvl w:val="0"/>
          <w:numId w:val="4"/>
        </w:numPr>
        <w:tabs>
          <w:tab w:val="left" w:pos="1519"/>
        </w:tabs>
        <w:spacing w:after="0" w:line="360" w:lineRule="exact"/>
        <w:ind w:left="1120" w:firstLine="0"/>
        <w:jc w:val="left"/>
        <w:rPr>
          <w:rFonts w:ascii="仿宋" w:hAnsi="仿宋" w:eastAsia="仿宋" w:cs="仿宋"/>
          <w:sz w:val="24"/>
          <w:szCs w:val="24"/>
          <w:highlight w:val="none"/>
        </w:rPr>
      </w:pPr>
      <w:bookmarkStart w:id="1" w:name="bookmark19"/>
      <w:bookmarkEnd w:id="1"/>
      <w:bookmarkStart w:id="2" w:name="bookmark20"/>
      <w:bookmarkEnd w:id="2"/>
      <w:r>
        <w:rPr>
          <w:rFonts w:hint="eastAsia" w:ascii="仿宋" w:hAnsi="仿宋" w:eastAsia="仿宋" w:cs="仿宋"/>
          <w:sz w:val="24"/>
          <w:szCs w:val="24"/>
          <w:highlight w:val="none"/>
        </w:rPr>
        <w:t>两名及以上的学生获同一项目奖，视为团体奖。</w:t>
      </w:r>
    </w:p>
    <w:p>
      <w:pPr>
        <w:pStyle w:val="10"/>
        <w:numPr>
          <w:ilvl w:val="0"/>
          <w:numId w:val="4"/>
        </w:numPr>
        <w:tabs>
          <w:tab w:val="left" w:pos="1526"/>
        </w:tabs>
        <w:spacing w:after="80" w:line="360" w:lineRule="exact"/>
        <w:ind w:left="1120" w:firstLine="0"/>
        <w:jc w:val="left"/>
        <w:rPr>
          <w:rFonts w:ascii="仿宋_GB2312" w:hAnsi="仿宋_GB2312" w:eastAsia="仿宋_GB2312" w:cs="仿宋_GB2312"/>
          <w:kern w:val="0"/>
          <w:sz w:val="28"/>
          <w:szCs w:val="28"/>
          <w:highlight w:val="none"/>
          <w:lang w:bidi="ar"/>
        </w:rPr>
      </w:pPr>
      <w:bookmarkStart w:id="3" w:name="bookmark21"/>
      <w:bookmarkEnd w:id="3"/>
      <w:r>
        <w:rPr>
          <w:rFonts w:hint="eastAsia" w:ascii="仿宋" w:hAnsi="仿宋" w:eastAsia="仿宋" w:cs="仿宋"/>
          <w:sz w:val="24"/>
          <w:szCs w:val="24"/>
          <w:highlight w:val="none"/>
        </w:rPr>
        <w:t>获奖项目的</w:t>
      </w:r>
      <w:r>
        <w:rPr>
          <w:rFonts w:hint="eastAsia" w:ascii="仿宋" w:hAnsi="仿宋" w:eastAsia="仿宋" w:cs="仿宋"/>
          <w:sz w:val="24"/>
          <w:szCs w:val="24"/>
          <w:highlight w:val="none"/>
          <w:lang w:val="zh-CN" w:eastAsia="zh-CN" w:bidi="zh-CN"/>
        </w:rPr>
        <w:t>“指导</w:t>
      </w:r>
      <w:r>
        <w:rPr>
          <w:rFonts w:hint="eastAsia" w:ascii="仿宋" w:hAnsi="仿宋" w:eastAsia="仿宋" w:cs="仿宋"/>
          <w:sz w:val="24"/>
          <w:szCs w:val="24"/>
          <w:highlight w:val="none"/>
        </w:rPr>
        <w:t>教师"以组织机构颁发证书上的教师姓名奖励。</w:t>
      </w:r>
    </w:p>
    <w:p>
      <w:pPr>
        <w:pStyle w:val="10"/>
        <w:numPr>
          <w:ilvl w:val="0"/>
          <w:numId w:val="4"/>
        </w:numPr>
        <w:tabs>
          <w:tab w:val="left" w:pos="1526"/>
        </w:tabs>
        <w:spacing w:after="80" w:line="360" w:lineRule="exact"/>
        <w:ind w:left="1120" w:firstLine="0"/>
        <w:jc w:val="left"/>
        <w:rPr>
          <w:rFonts w:ascii="仿宋_GB2312" w:hAnsi="仿宋_GB2312" w:eastAsia="仿宋_GB2312" w:cs="仿宋_GB2312"/>
          <w:kern w:val="0"/>
          <w:sz w:val="28"/>
          <w:szCs w:val="28"/>
          <w:highlight w:val="none"/>
          <w:lang w:bidi="ar"/>
        </w:rPr>
      </w:pPr>
      <w:r>
        <w:rPr>
          <w:rFonts w:hint="eastAsia" w:ascii="仿宋" w:hAnsi="仿宋" w:eastAsia="仿宋" w:cs="仿宋"/>
          <w:sz w:val="24"/>
          <w:szCs w:val="24"/>
          <w:highlight w:val="none"/>
          <w:lang w:val="en-US" w:eastAsia="zh-CN"/>
        </w:rPr>
        <w:t>学生已经发放奖品的校级竞赛，不再进行现金奖励。</w:t>
      </w:r>
    </w:p>
    <w:bookmarkEnd w:id="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30DA5"/>
    <w:multiLevelType w:val="singleLevel"/>
    <w:tmpl w:val="86130DA5"/>
    <w:lvl w:ilvl="0" w:tentative="0">
      <w:start w:val="3"/>
      <w:numFmt w:val="chineseCounting"/>
      <w:suff w:val="nothing"/>
      <w:lvlText w:val="（%1）"/>
      <w:lvlJc w:val="left"/>
      <w:rPr>
        <w:rFonts w:hint="eastAsia" w:ascii="仿宋" w:hAnsi="仿宋" w:eastAsia="仿宋"/>
        <w:b w:val="0"/>
        <w:bCs w:val="0"/>
      </w:rPr>
    </w:lvl>
  </w:abstractNum>
  <w:abstractNum w:abstractNumId="1">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2">
    <w:nsid w:val="111171D7"/>
    <w:multiLevelType w:val="singleLevel"/>
    <w:tmpl w:val="111171D7"/>
    <w:lvl w:ilvl="0" w:tentative="0">
      <w:start w:val="1"/>
      <w:numFmt w:val="chineseCounting"/>
      <w:suff w:val="nothing"/>
      <w:lvlText w:val="（%1）"/>
      <w:lvlJc w:val="left"/>
      <w:rPr>
        <w:rFonts w:hint="eastAsia"/>
      </w:rPr>
    </w:lvl>
  </w:abstractNum>
  <w:abstractNum w:abstractNumId="3">
    <w:nsid w:val="1FFC1B59"/>
    <w:multiLevelType w:val="singleLevel"/>
    <w:tmpl w:val="1FFC1B59"/>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MjIyZGQ3M2RiODdhODdmMTc1MGQyY2E0NWVjZWQifQ=="/>
  </w:docVars>
  <w:rsids>
    <w:rsidRoot w:val="003A375C"/>
    <w:rsid w:val="00010304"/>
    <w:rsid w:val="000140EC"/>
    <w:rsid w:val="00050838"/>
    <w:rsid w:val="000A7BCF"/>
    <w:rsid w:val="000B3A87"/>
    <w:rsid w:val="000C2924"/>
    <w:rsid w:val="000D69BF"/>
    <w:rsid w:val="001400BD"/>
    <w:rsid w:val="0016751B"/>
    <w:rsid w:val="001A6440"/>
    <w:rsid w:val="001B6DB1"/>
    <w:rsid w:val="001D09E0"/>
    <w:rsid w:val="002168BE"/>
    <w:rsid w:val="00217315"/>
    <w:rsid w:val="002417D5"/>
    <w:rsid w:val="002419A2"/>
    <w:rsid w:val="0024470B"/>
    <w:rsid w:val="00266580"/>
    <w:rsid w:val="002735E4"/>
    <w:rsid w:val="002C48B6"/>
    <w:rsid w:val="002E1F6F"/>
    <w:rsid w:val="002F71FA"/>
    <w:rsid w:val="00310A32"/>
    <w:rsid w:val="00331504"/>
    <w:rsid w:val="0034437D"/>
    <w:rsid w:val="003469A2"/>
    <w:rsid w:val="00362416"/>
    <w:rsid w:val="003A20E0"/>
    <w:rsid w:val="003A375C"/>
    <w:rsid w:val="003F65A1"/>
    <w:rsid w:val="00460D56"/>
    <w:rsid w:val="0046666F"/>
    <w:rsid w:val="004745BD"/>
    <w:rsid w:val="004863DB"/>
    <w:rsid w:val="004A096E"/>
    <w:rsid w:val="004B3274"/>
    <w:rsid w:val="004B582F"/>
    <w:rsid w:val="004D1AED"/>
    <w:rsid w:val="004D5219"/>
    <w:rsid w:val="004E7155"/>
    <w:rsid w:val="004E7339"/>
    <w:rsid w:val="004F133B"/>
    <w:rsid w:val="0050128F"/>
    <w:rsid w:val="00545D3F"/>
    <w:rsid w:val="005629C2"/>
    <w:rsid w:val="00572A93"/>
    <w:rsid w:val="005D0FD9"/>
    <w:rsid w:val="005E3FD2"/>
    <w:rsid w:val="006271E4"/>
    <w:rsid w:val="006C4D08"/>
    <w:rsid w:val="006E31BD"/>
    <w:rsid w:val="006E585B"/>
    <w:rsid w:val="00716834"/>
    <w:rsid w:val="0072283F"/>
    <w:rsid w:val="0073023A"/>
    <w:rsid w:val="007511B4"/>
    <w:rsid w:val="007568F6"/>
    <w:rsid w:val="00764CC0"/>
    <w:rsid w:val="007768E0"/>
    <w:rsid w:val="007E0471"/>
    <w:rsid w:val="007E4982"/>
    <w:rsid w:val="00800AD1"/>
    <w:rsid w:val="00806B86"/>
    <w:rsid w:val="0085364A"/>
    <w:rsid w:val="00854467"/>
    <w:rsid w:val="00876116"/>
    <w:rsid w:val="00884F0A"/>
    <w:rsid w:val="00891D70"/>
    <w:rsid w:val="008A4803"/>
    <w:rsid w:val="008B0065"/>
    <w:rsid w:val="008E57ED"/>
    <w:rsid w:val="008F30C3"/>
    <w:rsid w:val="009026C9"/>
    <w:rsid w:val="0092507A"/>
    <w:rsid w:val="00932FEE"/>
    <w:rsid w:val="00945989"/>
    <w:rsid w:val="00957D7C"/>
    <w:rsid w:val="00972E07"/>
    <w:rsid w:val="00996D1C"/>
    <w:rsid w:val="009A415E"/>
    <w:rsid w:val="009E6443"/>
    <w:rsid w:val="00A31886"/>
    <w:rsid w:val="00A8534F"/>
    <w:rsid w:val="00AA3F33"/>
    <w:rsid w:val="00AC3082"/>
    <w:rsid w:val="00AD73A5"/>
    <w:rsid w:val="00AF3E5A"/>
    <w:rsid w:val="00AF3F14"/>
    <w:rsid w:val="00B0035D"/>
    <w:rsid w:val="00B00BD6"/>
    <w:rsid w:val="00B01F04"/>
    <w:rsid w:val="00B11F83"/>
    <w:rsid w:val="00B668E8"/>
    <w:rsid w:val="00B850F0"/>
    <w:rsid w:val="00BA4C51"/>
    <w:rsid w:val="00BB0091"/>
    <w:rsid w:val="00BB0BFF"/>
    <w:rsid w:val="00BC1A8C"/>
    <w:rsid w:val="00BD1937"/>
    <w:rsid w:val="00BE1C77"/>
    <w:rsid w:val="00BF68E4"/>
    <w:rsid w:val="00C1131F"/>
    <w:rsid w:val="00C234D2"/>
    <w:rsid w:val="00C4599C"/>
    <w:rsid w:val="00C56200"/>
    <w:rsid w:val="00C63737"/>
    <w:rsid w:val="00C84859"/>
    <w:rsid w:val="00C96DF8"/>
    <w:rsid w:val="00CA5E09"/>
    <w:rsid w:val="00D029E4"/>
    <w:rsid w:val="00D1126A"/>
    <w:rsid w:val="00D33E80"/>
    <w:rsid w:val="00D40E6D"/>
    <w:rsid w:val="00D505AD"/>
    <w:rsid w:val="00D5761F"/>
    <w:rsid w:val="00DB35A4"/>
    <w:rsid w:val="00DB5D80"/>
    <w:rsid w:val="00DD16E8"/>
    <w:rsid w:val="00DD16FC"/>
    <w:rsid w:val="00DF6550"/>
    <w:rsid w:val="00E3747F"/>
    <w:rsid w:val="00E45AB3"/>
    <w:rsid w:val="00E6364E"/>
    <w:rsid w:val="00E97BC9"/>
    <w:rsid w:val="00EB6254"/>
    <w:rsid w:val="00EF5FA9"/>
    <w:rsid w:val="00F02BD9"/>
    <w:rsid w:val="00F0698A"/>
    <w:rsid w:val="00F1317C"/>
    <w:rsid w:val="00F15B14"/>
    <w:rsid w:val="00F16771"/>
    <w:rsid w:val="00F26366"/>
    <w:rsid w:val="00F41215"/>
    <w:rsid w:val="00F46A37"/>
    <w:rsid w:val="00F46D15"/>
    <w:rsid w:val="00F5691D"/>
    <w:rsid w:val="00F66675"/>
    <w:rsid w:val="00F81DD9"/>
    <w:rsid w:val="00FF6605"/>
    <w:rsid w:val="01765777"/>
    <w:rsid w:val="0194674A"/>
    <w:rsid w:val="01C74429"/>
    <w:rsid w:val="01F80A87"/>
    <w:rsid w:val="022C24DE"/>
    <w:rsid w:val="025E5F48"/>
    <w:rsid w:val="02902A6D"/>
    <w:rsid w:val="02BC3BD5"/>
    <w:rsid w:val="02CE3596"/>
    <w:rsid w:val="034A70C0"/>
    <w:rsid w:val="0350044F"/>
    <w:rsid w:val="03546191"/>
    <w:rsid w:val="03DD6186"/>
    <w:rsid w:val="03F67248"/>
    <w:rsid w:val="04F25C61"/>
    <w:rsid w:val="050634BB"/>
    <w:rsid w:val="05490347"/>
    <w:rsid w:val="055E6E53"/>
    <w:rsid w:val="05742A39"/>
    <w:rsid w:val="0575419C"/>
    <w:rsid w:val="057E5747"/>
    <w:rsid w:val="05A71375"/>
    <w:rsid w:val="05EA4B8A"/>
    <w:rsid w:val="06007F0A"/>
    <w:rsid w:val="06C62F02"/>
    <w:rsid w:val="06E15F8D"/>
    <w:rsid w:val="06F24FBD"/>
    <w:rsid w:val="06FA704F"/>
    <w:rsid w:val="0730481F"/>
    <w:rsid w:val="074C56B5"/>
    <w:rsid w:val="079C2FEB"/>
    <w:rsid w:val="07F43A9E"/>
    <w:rsid w:val="08031F33"/>
    <w:rsid w:val="08400A92"/>
    <w:rsid w:val="087921F6"/>
    <w:rsid w:val="08D86F1C"/>
    <w:rsid w:val="08FD2E27"/>
    <w:rsid w:val="095E1B17"/>
    <w:rsid w:val="09B45677"/>
    <w:rsid w:val="09B51214"/>
    <w:rsid w:val="0A0D52EB"/>
    <w:rsid w:val="0A4D7496"/>
    <w:rsid w:val="0A6D7B38"/>
    <w:rsid w:val="0A9357F1"/>
    <w:rsid w:val="0ADA2C67"/>
    <w:rsid w:val="0AE24082"/>
    <w:rsid w:val="0B304DED"/>
    <w:rsid w:val="0B495EAF"/>
    <w:rsid w:val="0B512FB6"/>
    <w:rsid w:val="0B7C0033"/>
    <w:rsid w:val="0B811AED"/>
    <w:rsid w:val="0CE237EF"/>
    <w:rsid w:val="0D141552"/>
    <w:rsid w:val="0D1F15BD"/>
    <w:rsid w:val="0D553231"/>
    <w:rsid w:val="0D611BD6"/>
    <w:rsid w:val="0D715058"/>
    <w:rsid w:val="0DBA3094"/>
    <w:rsid w:val="0E7476E7"/>
    <w:rsid w:val="0EB36461"/>
    <w:rsid w:val="0F1467D4"/>
    <w:rsid w:val="0F4220A2"/>
    <w:rsid w:val="0FDC34BA"/>
    <w:rsid w:val="100804DB"/>
    <w:rsid w:val="101271B8"/>
    <w:rsid w:val="10260EB5"/>
    <w:rsid w:val="102D3FF1"/>
    <w:rsid w:val="102E38C6"/>
    <w:rsid w:val="1089700E"/>
    <w:rsid w:val="109622EE"/>
    <w:rsid w:val="1097590F"/>
    <w:rsid w:val="109776BD"/>
    <w:rsid w:val="10AC760C"/>
    <w:rsid w:val="10B63FE7"/>
    <w:rsid w:val="113D0264"/>
    <w:rsid w:val="11D32C22"/>
    <w:rsid w:val="11E93F48"/>
    <w:rsid w:val="12483364"/>
    <w:rsid w:val="12545D4B"/>
    <w:rsid w:val="12B26A30"/>
    <w:rsid w:val="12BE7183"/>
    <w:rsid w:val="12E0534B"/>
    <w:rsid w:val="12E806A4"/>
    <w:rsid w:val="14025795"/>
    <w:rsid w:val="141D437D"/>
    <w:rsid w:val="141E30FB"/>
    <w:rsid w:val="14885C9A"/>
    <w:rsid w:val="14D013EF"/>
    <w:rsid w:val="150A243C"/>
    <w:rsid w:val="152139F9"/>
    <w:rsid w:val="15467554"/>
    <w:rsid w:val="1548367B"/>
    <w:rsid w:val="156C3591"/>
    <w:rsid w:val="156D6C3E"/>
    <w:rsid w:val="159348F7"/>
    <w:rsid w:val="15B825AF"/>
    <w:rsid w:val="16223BC9"/>
    <w:rsid w:val="16353C00"/>
    <w:rsid w:val="165C73DE"/>
    <w:rsid w:val="16704C38"/>
    <w:rsid w:val="1695644C"/>
    <w:rsid w:val="172F064F"/>
    <w:rsid w:val="174F484D"/>
    <w:rsid w:val="1780534F"/>
    <w:rsid w:val="17CE60BA"/>
    <w:rsid w:val="17D15BAA"/>
    <w:rsid w:val="17F90C5D"/>
    <w:rsid w:val="1800023D"/>
    <w:rsid w:val="18085387"/>
    <w:rsid w:val="184F6061"/>
    <w:rsid w:val="18537764"/>
    <w:rsid w:val="18567E5D"/>
    <w:rsid w:val="185C36C6"/>
    <w:rsid w:val="186B122C"/>
    <w:rsid w:val="187160FA"/>
    <w:rsid w:val="18B057C0"/>
    <w:rsid w:val="18D92F68"/>
    <w:rsid w:val="1957723E"/>
    <w:rsid w:val="19A075E2"/>
    <w:rsid w:val="19E82D37"/>
    <w:rsid w:val="1A352420"/>
    <w:rsid w:val="1A4E34E2"/>
    <w:rsid w:val="1A66082C"/>
    <w:rsid w:val="1B3609F4"/>
    <w:rsid w:val="1B4F159B"/>
    <w:rsid w:val="1B513704"/>
    <w:rsid w:val="1B570174"/>
    <w:rsid w:val="1B632FBD"/>
    <w:rsid w:val="1BC3580A"/>
    <w:rsid w:val="1BCD48DA"/>
    <w:rsid w:val="1BD619E1"/>
    <w:rsid w:val="1C27488B"/>
    <w:rsid w:val="1C2C7853"/>
    <w:rsid w:val="1C662AD7"/>
    <w:rsid w:val="1C913B5A"/>
    <w:rsid w:val="1C9B1773"/>
    <w:rsid w:val="1CAD2542"/>
    <w:rsid w:val="1CC7132A"/>
    <w:rsid w:val="1D0748D5"/>
    <w:rsid w:val="1D9C4564"/>
    <w:rsid w:val="1DCF66E8"/>
    <w:rsid w:val="1DD737EE"/>
    <w:rsid w:val="1E0068A1"/>
    <w:rsid w:val="1E1B36DB"/>
    <w:rsid w:val="1EE520FD"/>
    <w:rsid w:val="1EEC12B8"/>
    <w:rsid w:val="1FCB1131"/>
    <w:rsid w:val="1FEA15B7"/>
    <w:rsid w:val="1FF73CD4"/>
    <w:rsid w:val="2014246F"/>
    <w:rsid w:val="202C7E22"/>
    <w:rsid w:val="203C3DDD"/>
    <w:rsid w:val="20755F5A"/>
    <w:rsid w:val="20BD63C5"/>
    <w:rsid w:val="20FA7F20"/>
    <w:rsid w:val="20FB1D1F"/>
    <w:rsid w:val="217D3604"/>
    <w:rsid w:val="21F77FBB"/>
    <w:rsid w:val="22066450"/>
    <w:rsid w:val="22394A78"/>
    <w:rsid w:val="226715E5"/>
    <w:rsid w:val="2270284F"/>
    <w:rsid w:val="22883309"/>
    <w:rsid w:val="22A75E85"/>
    <w:rsid w:val="22B83BEE"/>
    <w:rsid w:val="22F97D63"/>
    <w:rsid w:val="235002CB"/>
    <w:rsid w:val="235C6C70"/>
    <w:rsid w:val="23DF164F"/>
    <w:rsid w:val="23FF2EA6"/>
    <w:rsid w:val="24135D3A"/>
    <w:rsid w:val="24247062"/>
    <w:rsid w:val="243E0123"/>
    <w:rsid w:val="24A65CC9"/>
    <w:rsid w:val="24BC54EC"/>
    <w:rsid w:val="25092208"/>
    <w:rsid w:val="2518258F"/>
    <w:rsid w:val="25341526"/>
    <w:rsid w:val="253908EB"/>
    <w:rsid w:val="255341F5"/>
    <w:rsid w:val="25BA1A2C"/>
    <w:rsid w:val="25C805EC"/>
    <w:rsid w:val="261C26E6"/>
    <w:rsid w:val="264F6D71"/>
    <w:rsid w:val="265359DC"/>
    <w:rsid w:val="26560956"/>
    <w:rsid w:val="26DB7EAB"/>
    <w:rsid w:val="27231852"/>
    <w:rsid w:val="27873B8F"/>
    <w:rsid w:val="27A74232"/>
    <w:rsid w:val="283006CB"/>
    <w:rsid w:val="28616AD6"/>
    <w:rsid w:val="28667C49"/>
    <w:rsid w:val="286E4D4F"/>
    <w:rsid w:val="28E3573D"/>
    <w:rsid w:val="290A2CCA"/>
    <w:rsid w:val="291476A5"/>
    <w:rsid w:val="29211DC2"/>
    <w:rsid w:val="2967011C"/>
    <w:rsid w:val="296F0D7F"/>
    <w:rsid w:val="29D82DC8"/>
    <w:rsid w:val="2A38701B"/>
    <w:rsid w:val="2A646193"/>
    <w:rsid w:val="2A7B5790"/>
    <w:rsid w:val="2B1971F4"/>
    <w:rsid w:val="2B666130"/>
    <w:rsid w:val="2B6C37C8"/>
    <w:rsid w:val="2B8F3AB1"/>
    <w:rsid w:val="2BE617CC"/>
    <w:rsid w:val="2C0E0D23"/>
    <w:rsid w:val="2C167BD8"/>
    <w:rsid w:val="2C55458E"/>
    <w:rsid w:val="2C7A3CC3"/>
    <w:rsid w:val="2C8903AA"/>
    <w:rsid w:val="2CB371D5"/>
    <w:rsid w:val="2CDF7FCA"/>
    <w:rsid w:val="2D2F07C3"/>
    <w:rsid w:val="2D915768"/>
    <w:rsid w:val="2DDD09AD"/>
    <w:rsid w:val="2E6B420B"/>
    <w:rsid w:val="2E903C71"/>
    <w:rsid w:val="2EF277A0"/>
    <w:rsid w:val="2F1C7B2E"/>
    <w:rsid w:val="2F462582"/>
    <w:rsid w:val="2F8530AA"/>
    <w:rsid w:val="2FC55B9D"/>
    <w:rsid w:val="2FCF4325"/>
    <w:rsid w:val="2FF578BF"/>
    <w:rsid w:val="30161F54"/>
    <w:rsid w:val="30536D05"/>
    <w:rsid w:val="3058256D"/>
    <w:rsid w:val="30607673"/>
    <w:rsid w:val="30963095"/>
    <w:rsid w:val="30AB4F67"/>
    <w:rsid w:val="30BA4FD6"/>
    <w:rsid w:val="30F229C1"/>
    <w:rsid w:val="31CF685F"/>
    <w:rsid w:val="3227669B"/>
    <w:rsid w:val="330E33B7"/>
    <w:rsid w:val="33274478"/>
    <w:rsid w:val="33305A23"/>
    <w:rsid w:val="3341378C"/>
    <w:rsid w:val="33596D28"/>
    <w:rsid w:val="33E800AC"/>
    <w:rsid w:val="33F80DFE"/>
    <w:rsid w:val="34232E92"/>
    <w:rsid w:val="34B65AB4"/>
    <w:rsid w:val="34D70141"/>
    <w:rsid w:val="35395190"/>
    <w:rsid w:val="35492DCC"/>
    <w:rsid w:val="359A53D6"/>
    <w:rsid w:val="360016DD"/>
    <w:rsid w:val="360A5E2C"/>
    <w:rsid w:val="361433DA"/>
    <w:rsid w:val="368A369C"/>
    <w:rsid w:val="375241BA"/>
    <w:rsid w:val="37555A58"/>
    <w:rsid w:val="37765B1B"/>
    <w:rsid w:val="377C7BEC"/>
    <w:rsid w:val="37A20571"/>
    <w:rsid w:val="37EF2397"/>
    <w:rsid w:val="38325D99"/>
    <w:rsid w:val="386341A5"/>
    <w:rsid w:val="389C3213"/>
    <w:rsid w:val="38B22A36"/>
    <w:rsid w:val="38C764E2"/>
    <w:rsid w:val="38E075A3"/>
    <w:rsid w:val="38F4304F"/>
    <w:rsid w:val="39461AFC"/>
    <w:rsid w:val="39D709A6"/>
    <w:rsid w:val="3A175247"/>
    <w:rsid w:val="3A1F234D"/>
    <w:rsid w:val="3A6B10EF"/>
    <w:rsid w:val="3ABC7B9C"/>
    <w:rsid w:val="3BAC19BF"/>
    <w:rsid w:val="3BCA5F07"/>
    <w:rsid w:val="3BEE1FD7"/>
    <w:rsid w:val="3BFA4E20"/>
    <w:rsid w:val="3C0D06AF"/>
    <w:rsid w:val="3C601127"/>
    <w:rsid w:val="3CA8662A"/>
    <w:rsid w:val="3CAC611A"/>
    <w:rsid w:val="3CD20CA1"/>
    <w:rsid w:val="3CFE624A"/>
    <w:rsid w:val="3D477BF1"/>
    <w:rsid w:val="3D5B544A"/>
    <w:rsid w:val="3D7B3D3F"/>
    <w:rsid w:val="3D9779A5"/>
    <w:rsid w:val="3D9E06CD"/>
    <w:rsid w:val="3E375A02"/>
    <w:rsid w:val="3E6622F9"/>
    <w:rsid w:val="3ED6747E"/>
    <w:rsid w:val="3F073ADC"/>
    <w:rsid w:val="3F9F3D14"/>
    <w:rsid w:val="3FB13A48"/>
    <w:rsid w:val="3FCB2D5B"/>
    <w:rsid w:val="401C35B7"/>
    <w:rsid w:val="4033445D"/>
    <w:rsid w:val="404A3432"/>
    <w:rsid w:val="406960D0"/>
    <w:rsid w:val="408C3438"/>
    <w:rsid w:val="415D5C35"/>
    <w:rsid w:val="41913B31"/>
    <w:rsid w:val="41923405"/>
    <w:rsid w:val="41C31810"/>
    <w:rsid w:val="41D67795"/>
    <w:rsid w:val="41F55BC6"/>
    <w:rsid w:val="42552DB0"/>
    <w:rsid w:val="425828A0"/>
    <w:rsid w:val="42666D6B"/>
    <w:rsid w:val="429C09DF"/>
    <w:rsid w:val="42CD0B55"/>
    <w:rsid w:val="436B215F"/>
    <w:rsid w:val="439D4A0F"/>
    <w:rsid w:val="43C31F9B"/>
    <w:rsid w:val="44760DBC"/>
    <w:rsid w:val="44937BC0"/>
    <w:rsid w:val="44A12493"/>
    <w:rsid w:val="450B59A8"/>
    <w:rsid w:val="45392515"/>
    <w:rsid w:val="453B44DF"/>
    <w:rsid w:val="45B147A1"/>
    <w:rsid w:val="464078D3"/>
    <w:rsid w:val="472504C7"/>
    <w:rsid w:val="477C493B"/>
    <w:rsid w:val="482F7BFF"/>
    <w:rsid w:val="48A73C3A"/>
    <w:rsid w:val="492C413F"/>
    <w:rsid w:val="496F0BFB"/>
    <w:rsid w:val="49836455"/>
    <w:rsid w:val="499046CE"/>
    <w:rsid w:val="4A981A8C"/>
    <w:rsid w:val="4AA20B5D"/>
    <w:rsid w:val="4BE64A79"/>
    <w:rsid w:val="4C2A0E0A"/>
    <w:rsid w:val="4C3457E4"/>
    <w:rsid w:val="4CC0351C"/>
    <w:rsid w:val="4D551EB6"/>
    <w:rsid w:val="4EB42C0C"/>
    <w:rsid w:val="4EE07EA5"/>
    <w:rsid w:val="4EE259CC"/>
    <w:rsid w:val="4EFD45B3"/>
    <w:rsid w:val="4F350117"/>
    <w:rsid w:val="4F9D7B44"/>
    <w:rsid w:val="4FBA24A4"/>
    <w:rsid w:val="4FCE5F50"/>
    <w:rsid w:val="4FE65048"/>
    <w:rsid w:val="50461F8A"/>
    <w:rsid w:val="505C355C"/>
    <w:rsid w:val="50C10F02"/>
    <w:rsid w:val="50DB26D2"/>
    <w:rsid w:val="511D2CEB"/>
    <w:rsid w:val="51281690"/>
    <w:rsid w:val="512A5408"/>
    <w:rsid w:val="514501A0"/>
    <w:rsid w:val="51AE6039"/>
    <w:rsid w:val="526B217C"/>
    <w:rsid w:val="528943B0"/>
    <w:rsid w:val="53152FB5"/>
    <w:rsid w:val="53BF0089"/>
    <w:rsid w:val="53E2021C"/>
    <w:rsid w:val="54770964"/>
    <w:rsid w:val="54B90F7D"/>
    <w:rsid w:val="54DE4E87"/>
    <w:rsid w:val="54FF095A"/>
    <w:rsid w:val="552F123F"/>
    <w:rsid w:val="5539030F"/>
    <w:rsid w:val="559612BE"/>
    <w:rsid w:val="55990DAE"/>
    <w:rsid w:val="559B2D78"/>
    <w:rsid w:val="55AD03B6"/>
    <w:rsid w:val="56462CE4"/>
    <w:rsid w:val="56674A08"/>
    <w:rsid w:val="56777341"/>
    <w:rsid w:val="569F0646"/>
    <w:rsid w:val="56C9121F"/>
    <w:rsid w:val="56D46542"/>
    <w:rsid w:val="57315742"/>
    <w:rsid w:val="576D0032"/>
    <w:rsid w:val="57E44562"/>
    <w:rsid w:val="57F02AEA"/>
    <w:rsid w:val="588C69A8"/>
    <w:rsid w:val="58934695"/>
    <w:rsid w:val="58DC7930"/>
    <w:rsid w:val="58FD5FFF"/>
    <w:rsid w:val="59103135"/>
    <w:rsid w:val="592B61C1"/>
    <w:rsid w:val="592C696A"/>
    <w:rsid w:val="59822285"/>
    <w:rsid w:val="59AE2310"/>
    <w:rsid w:val="59D32AE1"/>
    <w:rsid w:val="59D800F7"/>
    <w:rsid w:val="5A24333C"/>
    <w:rsid w:val="5A315A59"/>
    <w:rsid w:val="5A461504"/>
    <w:rsid w:val="5A7140A7"/>
    <w:rsid w:val="5A8B5169"/>
    <w:rsid w:val="5A9164F8"/>
    <w:rsid w:val="5AC468CD"/>
    <w:rsid w:val="5AEE74A6"/>
    <w:rsid w:val="5AFC7E15"/>
    <w:rsid w:val="5B062A42"/>
    <w:rsid w:val="5B3C06E5"/>
    <w:rsid w:val="5B5D476D"/>
    <w:rsid w:val="5B991B08"/>
    <w:rsid w:val="5BAA5AC3"/>
    <w:rsid w:val="5BDD6F0A"/>
    <w:rsid w:val="5CAC586B"/>
    <w:rsid w:val="5CC11316"/>
    <w:rsid w:val="5CCE758F"/>
    <w:rsid w:val="5D123920"/>
    <w:rsid w:val="5D3925F5"/>
    <w:rsid w:val="5D83037A"/>
    <w:rsid w:val="5DAD3649"/>
    <w:rsid w:val="5DBC388C"/>
    <w:rsid w:val="5DCE6E78"/>
    <w:rsid w:val="5DDE09B7"/>
    <w:rsid w:val="5DF11787"/>
    <w:rsid w:val="5E36363E"/>
    <w:rsid w:val="5E5B12F6"/>
    <w:rsid w:val="5E8E347A"/>
    <w:rsid w:val="5EA06D09"/>
    <w:rsid w:val="5EF96C2D"/>
    <w:rsid w:val="600B4656"/>
    <w:rsid w:val="603C0CB4"/>
    <w:rsid w:val="605204D7"/>
    <w:rsid w:val="60563B24"/>
    <w:rsid w:val="609B59DA"/>
    <w:rsid w:val="60A54AAB"/>
    <w:rsid w:val="611A2DA3"/>
    <w:rsid w:val="6151253D"/>
    <w:rsid w:val="618172C6"/>
    <w:rsid w:val="61BA4586"/>
    <w:rsid w:val="61C84EF5"/>
    <w:rsid w:val="61CB6793"/>
    <w:rsid w:val="61F41846"/>
    <w:rsid w:val="621974FF"/>
    <w:rsid w:val="62723D08"/>
    <w:rsid w:val="62966DA1"/>
    <w:rsid w:val="62A019CE"/>
    <w:rsid w:val="62E0001C"/>
    <w:rsid w:val="62F15C6C"/>
    <w:rsid w:val="63043D0B"/>
    <w:rsid w:val="631F252D"/>
    <w:rsid w:val="633839B4"/>
    <w:rsid w:val="639F57E1"/>
    <w:rsid w:val="63BF7C32"/>
    <w:rsid w:val="63C20432"/>
    <w:rsid w:val="63CD67F3"/>
    <w:rsid w:val="63D86F45"/>
    <w:rsid w:val="63D95197"/>
    <w:rsid w:val="640970FF"/>
    <w:rsid w:val="642B176B"/>
    <w:rsid w:val="645C36D2"/>
    <w:rsid w:val="64C25C2B"/>
    <w:rsid w:val="64CE5958"/>
    <w:rsid w:val="655B1BDC"/>
    <w:rsid w:val="655F16CC"/>
    <w:rsid w:val="658729D1"/>
    <w:rsid w:val="659A2704"/>
    <w:rsid w:val="65BC6B1F"/>
    <w:rsid w:val="65D960F1"/>
    <w:rsid w:val="66124991"/>
    <w:rsid w:val="666B22F3"/>
    <w:rsid w:val="66DB4D83"/>
    <w:rsid w:val="6727621A"/>
    <w:rsid w:val="678C6EB0"/>
    <w:rsid w:val="678E6299"/>
    <w:rsid w:val="67B3477C"/>
    <w:rsid w:val="67BA52E0"/>
    <w:rsid w:val="67E45EB9"/>
    <w:rsid w:val="681B5DE1"/>
    <w:rsid w:val="684833D5"/>
    <w:rsid w:val="686B0388"/>
    <w:rsid w:val="686D4100"/>
    <w:rsid w:val="686D5EAE"/>
    <w:rsid w:val="68BD5281"/>
    <w:rsid w:val="68E673AD"/>
    <w:rsid w:val="68E819D9"/>
    <w:rsid w:val="69201173"/>
    <w:rsid w:val="69392234"/>
    <w:rsid w:val="6953779A"/>
    <w:rsid w:val="69657308"/>
    <w:rsid w:val="69B31FE7"/>
    <w:rsid w:val="69B53FB1"/>
    <w:rsid w:val="69B71EBC"/>
    <w:rsid w:val="6A0F3E3A"/>
    <w:rsid w:val="6A114F5F"/>
    <w:rsid w:val="6A1B7B8C"/>
    <w:rsid w:val="6A794FDE"/>
    <w:rsid w:val="6AE10DD5"/>
    <w:rsid w:val="6B182A49"/>
    <w:rsid w:val="6B2A53DC"/>
    <w:rsid w:val="6B2F39F3"/>
    <w:rsid w:val="6B9B71D6"/>
    <w:rsid w:val="6BAD2A66"/>
    <w:rsid w:val="6BE75F78"/>
    <w:rsid w:val="6BF80185"/>
    <w:rsid w:val="6C0C7883"/>
    <w:rsid w:val="6C6121CE"/>
    <w:rsid w:val="6CBE13CE"/>
    <w:rsid w:val="6D1A237D"/>
    <w:rsid w:val="6D365409"/>
    <w:rsid w:val="6D7B106D"/>
    <w:rsid w:val="6E105C5A"/>
    <w:rsid w:val="6E231146"/>
    <w:rsid w:val="6E241705"/>
    <w:rsid w:val="6EB03B7B"/>
    <w:rsid w:val="6EBF5A2C"/>
    <w:rsid w:val="6EDF6C3C"/>
    <w:rsid w:val="6EE40E94"/>
    <w:rsid w:val="6F174DC6"/>
    <w:rsid w:val="6F1A6664"/>
    <w:rsid w:val="6F3E67F6"/>
    <w:rsid w:val="6F5222A2"/>
    <w:rsid w:val="6F593630"/>
    <w:rsid w:val="6F765F90"/>
    <w:rsid w:val="6FC00FB9"/>
    <w:rsid w:val="6FE6799D"/>
    <w:rsid w:val="70761FC0"/>
    <w:rsid w:val="70893AA1"/>
    <w:rsid w:val="70F058CE"/>
    <w:rsid w:val="7117699B"/>
    <w:rsid w:val="7148395C"/>
    <w:rsid w:val="717931B4"/>
    <w:rsid w:val="717B788E"/>
    <w:rsid w:val="71BB412E"/>
    <w:rsid w:val="72361A07"/>
    <w:rsid w:val="72451C4A"/>
    <w:rsid w:val="726227FC"/>
    <w:rsid w:val="72B34E05"/>
    <w:rsid w:val="732E0F5A"/>
    <w:rsid w:val="73522870"/>
    <w:rsid w:val="7386251A"/>
    <w:rsid w:val="739C3AEB"/>
    <w:rsid w:val="73CF2113"/>
    <w:rsid w:val="744D4DE6"/>
    <w:rsid w:val="74975B4A"/>
    <w:rsid w:val="74B3733F"/>
    <w:rsid w:val="750951B1"/>
    <w:rsid w:val="750E28D8"/>
    <w:rsid w:val="753F35AD"/>
    <w:rsid w:val="754937FF"/>
    <w:rsid w:val="75581C94"/>
    <w:rsid w:val="75A158C7"/>
    <w:rsid w:val="75E35A02"/>
    <w:rsid w:val="760B4F58"/>
    <w:rsid w:val="761B33ED"/>
    <w:rsid w:val="763E0E8A"/>
    <w:rsid w:val="768C6099"/>
    <w:rsid w:val="76BD26F7"/>
    <w:rsid w:val="76CC0B8C"/>
    <w:rsid w:val="76F835E2"/>
    <w:rsid w:val="76F93003"/>
    <w:rsid w:val="76FF686B"/>
    <w:rsid w:val="7702635B"/>
    <w:rsid w:val="77112BE8"/>
    <w:rsid w:val="777A2396"/>
    <w:rsid w:val="77EB3293"/>
    <w:rsid w:val="78525CB3"/>
    <w:rsid w:val="786A41B8"/>
    <w:rsid w:val="7883527A"/>
    <w:rsid w:val="788D7EA7"/>
    <w:rsid w:val="789B6A68"/>
    <w:rsid w:val="78D14237"/>
    <w:rsid w:val="78D930EC"/>
    <w:rsid w:val="79401342"/>
    <w:rsid w:val="79507852"/>
    <w:rsid w:val="797D7F1B"/>
    <w:rsid w:val="79D97847"/>
    <w:rsid w:val="79DC2E94"/>
    <w:rsid w:val="79E65AC0"/>
    <w:rsid w:val="79EB757B"/>
    <w:rsid w:val="7A2D36EF"/>
    <w:rsid w:val="7A6F3D08"/>
    <w:rsid w:val="7AB160CE"/>
    <w:rsid w:val="7B0607FA"/>
    <w:rsid w:val="7B1E74DC"/>
    <w:rsid w:val="7B446F42"/>
    <w:rsid w:val="7B452CBB"/>
    <w:rsid w:val="7B66335D"/>
    <w:rsid w:val="7B663375"/>
    <w:rsid w:val="7B6F1AE6"/>
    <w:rsid w:val="7B9559F0"/>
    <w:rsid w:val="7C2823C0"/>
    <w:rsid w:val="7C52568F"/>
    <w:rsid w:val="7C613B24"/>
    <w:rsid w:val="7C710C60"/>
    <w:rsid w:val="7C9376EC"/>
    <w:rsid w:val="7D4D5E56"/>
    <w:rsid w:val="7D893333"/>
    <w:rsid w:val="7D983576"/>
    <w:rsid w:val="7DBF6D54"/>
    <w:rsid w:val="7E2D63B4"/>
    <w:rsid w:val="7E464D80"/>
    <w:rsid w:val="7E6478FC"/>
    <w:rsid w:val="7E682F48"/>
    <w:rsid w:val="7ED44A81"/>
    <w:rsid w:val="7F032C71"/>
    <w:rsid w:val="7F58120E"/>
    <w:rsid w:val="7F5B2AAD"/>
    <w:rsid w:val="7F8A3392"/>
    <w:rsid w:val="7FD14B1D"/>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paragraph" w:customStyle="1" w:styleId="10">
    <w:name w:val="Body text|1"/>
    <w:basedOn w:val="1"/>
    <w:qFormat/>
    <w:uiPriority w:val="0"/>
    <w:pPr>
      <w:spacing w:after="40" w:line="283" w:lineRule="auto"/>
      <w:ind w:firstLine="400"/>
    </w:pPr>
    <w:rPr>
      <w:rFonts w:ascii="MingLiU" w:hAnsi="MingLiU" w:eastAsia="MingLiU" w:cs="MingLiU"/>
      <w:sz w:val="26"/>
      <w:szCs w:val="26"/>
      <w:lang w:val="zh-TW" w:eastAsia="zh-TW" w:bidi="zh-TW"/>
    </w:rPr>
  </w:style>
  <w:style w:type="paragraph" w:customStyle="1" w:styleId="11">
    <w:name w:val="Other|1"/>
    <w:basedOn w:val="1"/>
    <w:qFormat/>
    <w:uiPriority w:val="0"/>
    <w:rPr>
      <w:rFonts w:ascii="MingLiU" w:hAnsi="MingLiU" w:eastAsia="MingLiU" w:cs="MingLiU"/>
      <w:sz w:val="22"/>
      <w:szCs w:val="22"/>
      <w:lang w:val="zh-TW" w:eastAsia="zh-TW" w:bidi="zh-TW"/>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03345-5201-4778-ACFB-9033C32E830E}">
  <ds:schemaRefs/>
</ds:datastoreItem>
</file>

<file path=docProps/app.xml><?xml version="1.0" encoding="utf-8"?>
<Properties xmlns="http://schemas.openxmlformats.org/officeDocument/2006/extended-properties" xmlns:vt="http://schemas.openxmlformats.org/officeDocument/2006/docPropsVTypes">
  <Template>Normal</Template>
  <Pages>15</Pages>
  <Words>5701</Words>
  <Characters>5823</Characters>
  <Lines>42</Lines>
  <Paragraphs>12</Paragraphs>
  <TotalTime>0</TotalTime>
  <ScaleCrop>false</ScaleCrop>
  <LinksUpToDate>false</LinksUpToDate>
  <CharactersWithSpaces>6041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2022-04-13T01:41:00Z</dcterms:created>
  <dc:creator>牡丹</dc:creator>
  <cp:lastModifiedBy>琳</cp:lastModifiedBy>
  <dcterms:modified xsi:type="dcterms:W3CDTF">2022-11-07T05:25:15Z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8762DEA228B64A74BF48DBF434319497</vt:lpwstr>
  </property>
</Properties>
</file>